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C31634" w:rsidP="00730F4B">
      <w:pPr>
        <w:ind w:right="-1" w:firstLine="708"/>
        <w:jc w:val="both"/>
        <w:rPr>
          <w:sz w:val="22"/>
          <w:szCs w:val="22"/>
        </w:rPr>
      </w:pPr>
      <w:r w:rsidRPr="00C31634">
        <w:rPr>
          <w:b/>
          <w:sz w:val="22"/>
          <w:szCs w:val="22"/>
        </w:rPr>
        <w:t>Муниципальное бюджетное учреждение «Архив документов по личному составу»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AC768C">
        <w:rPr>
          <w:b/>
          <w:sz w:val="22"/>
          <w:szCs w:val="22"/>
        </w:rPr>
        <w:t>31</w:t>
      </w:r>
      <w:r w:rsidR="000A4A0A" w:rsidRPr="006B671D">
        <w:rPr>
          <w:b/>
          <w:sz w:val="22"/>
          <w:szCs w:val="22"/>
        </w:rPr>
        <w:t xml:space="preserve"> </w:t>
      </w:r>
      <w:r w:rsidR="00AC768C">
        <w:rPr>
          <w:b/>
          <w:sz w:val="22"/>
          <w:szCs w:val="22"/>
        </w:rPr>
        <w:t>октября</w:t>
      </w:r>
      <w:r w:rsidR="00D03309" w:rsidRPr="006B671D">
        <w:rPr>
          <w:b/>
          <w:sz w:val="22"/>
          <w:szCs w:val="22"/>
        </w:rPr>
        <w:t xml:space="preserve">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993"/>
        <w:gridCol w:w="1672"/>
        <w:gridCol w:w="1985"/>
      </w:tblGrid>
      <w:tr w:rsidR="00C63B84" w:rsidRPr="00CD0610" w:rsidTr="006B671D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6B671D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A742AB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CD0610" w:rsidRDefault="00A742AB" w:rsidP="00A742AB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FA7EA1" w:rsidRDefault="008D1DBC" w:rsidP="00A742AB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023665" w:rsidRDefault="00C31634" w:rsidP="00D731A8">
            <w:pPr>
              <w:jc w:val="center"/>
            </w:pPr>
            <w:r w:rsidRPr="00C31634">
              <w:rPr>
                <w:sz w:val="22"/>
                <w:szCs w:val="22"/>
              </w:rPr>
              <w:t>LADA-212140</w:t>
            </w:r>
            <w:r w:rsidR="00AC768C">
              <w:rPr>
                <w:sz w:val="22"/>
                <w:szCs w:val="22"/>
              </w:rPr>
              <w:t xml:space="preserve"> (4х4)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C31634" w:rsidRDefault="00550D02" w:rsidP="00C31634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C31634">
              <w:rPr>
                <w:sz w:val="22"/>
                <w:szCs w:val="22"/>
              </w:rPr>
              <w:t>013</w:t>
            </w:r>
            <w:r w:rsidR="00A742AB">
              <w:rPr>
                <w:sz w:val="22"/>
                <w:szCs w:val="22"/>
              </w:rPr>
              <w:t xml:space="preserve">, </w:t>
            </w:r>
            <w:r w:rsidR="00A742AB" w:rsidRPr="006B671D">
              <w:rPr>
                <w:sz w:val="22"/>
                <w:szCs w:val="22"/>
              </w:rPr>
              <w:t>X</w:t>
            </w:r>
            <w:r w:rsidR="00C31634">
              <w:rPr>
                <w:sz w:val="22"/>
                <w:szCs w:val="22"/>
                <w:lang w:val="en-US"/>
              </w:rPr>
              <w:t>TA212140D2140487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2AB" w:rsidRPr="000A4A0A" w:rsidRDefault="00C31634" w:rsidP="00550D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217</w:t>
            </w:r>
            <w:r w:rsidR="00023665"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AB" w:rsidRPr="000A4A0A" w:rsidRDefault="00C31634" w:rsidP="00A742AB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10 850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AB" w:rsidRPr="00C31634" w:rsidRDefault="00C31634" w:rsidP="00550D0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43 400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AB" w:rsidRPr="000A4A0A" w:rsidRDefault="00A742AB" w:rsidP="00A742AB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6D7884" w:rsidRPr="006D7884">
        <w:rPr>
          <w:b/>
          <w:sz w:val="22"/>
          <w:szCs w:val="22"/>
        </w:rPr>
        <w:t>Муниципальное бюджетное учреждение «Архив документов по личному составу»</w:t>
      </w:r>
      <w:r w:rsidR="006D7884">
        <w:rPr>
          <w:color w:val="00000A"/>
          <w:sz w:val="22"/>
          <w:szCs w:val="22"/>
          <w:lang w:eastAsia="ar-SA"/>
        </w:rPr>
        <w:t xml:space="preserve"> Адрес: 423822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F132AD">
        <w:rPr>
          <w:color w:val="00000A"/>
          <w:sz w:val="22"/>
          <w:szCs w:val="22"/>
          <w:lang w:eastAsia="ar-SA"/>
        </w:rPr>
        <w:t xml:space="preserve">улица </w:t>
      </w:r>
      <w:proofErr w:type="spellStart"/>
      <w:r w:rsidR="00F132AD">
        <w:rPr>
          <w:color w:val="00000A"/>
          <w:sz w:val="22"/>
          <w:szCs w:val="22"/>
          <w:lang w:eastAsia="ar-SA"/>
        </w:rPr>
        <w:t>Нариманова</w:t>
      </w:r>
      <w:proofErr w:type="spellEnd"/>
      <w:r w:rsidR="00F132AD">
        <w:rPr>
          <w:color w:val="00000A"/>
          <w:sz w:val="22"/>
          <w:szCs w:val="22"/>
          <w:lang w:eastAsia="ar-SA"/>
        </w:rPr>
        <w:t>, дом 44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6D7884">
        <w:rPr>
          <w:color w:val="00000A"/>
          <w:sz w:val="22"/>
          <w:szCs w:val="22"/>
          <w:lang w:val="en-US" w:eastAsia="ar-SA"/>
        </w:rPr>
        <w:t>myadls</w:t>
      </w:r>
      <w:proofErr w:type="spellEnd"/>
      <w:r w:rsidR="006D7884" w:rsidRPr="006D7884">
        <w:rPr>
          <w:color w:val="00000A"/>
          <w:sz w:val="22"/>
          <w:szCs w:val="22"/>
          <w:lang w:eastAsia="ar-SA"/>
        </w:rPr>
        <w:t>@</w:t>
      </w:r>
      <w:r w:rsidR="006D7884">
        <w:rPr>
          <w:color w:val="00000A"/>
          <w:sz w:val="22"/>
          <w:szCs w:val="22"/>
          <w:lang w:val="en-US" w:eastAsia="ar-SA"/>
        </w:rPr>
        <w:t>mail</w:t>
      </w:r>
      <w:r w:rsidR="006D7884" w:rsidRPr="006D7884">
        <w:rPr>
          <w:color w:val="00000A"/>
          <w:sz w:val="22"/>
          <w:szCs w:val="22"/>
          <w:lang w:eastAsia="ar-SA"/>
        </w:rPr>
        <w:t>.</w:t>
      </w:r>
      <w:proofErr w:type="spellStart"/>
      <w:r w:rsidR="006D7884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6D7884">
        <w:rPr>
          <w:color w:val="00000A"/>
          <w:sz w:val="22"/>
          <w:szCs w:val="22"/>
          <w:lang w:eastAsia="ar-SA"/>
        </w:rPr>
        <w:t>34-39-79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6D7884">
        <w:rPr>
          <w:color w:val="00000A"/>
          <w:sz w:val="22"/>
          <w:szCs w:val="22"/>
          <w:lang w:eastAsia="ar-SA"/>
        </w:rPr>
        <w:t>Ахметшина</w:t>
      </w:r>
      <w:proofErr w:type="spellEnd"/>
      <w:r w:rsidR="006D7884">
        <w:rPr>
          <w:color w:val="00000A"/>
          <w:sz w:val="22"/>
          <w:szCs w:val="22"/>
          <w:lang w:eastAsia="ar-SA"/>
        </w:rPr>
        <w:t xml:space="preserve"> Эльмира </w:t>
      </w:r>
      <w:proofErr w:type="spellStart"/>
      <w:r w:rsidR="006D7884">
        <w:rPr>
          <w:color w:val="00000A"/>
          <w:sz w:val="22"/>
          <w:szCs w:val="22"/>
          <w:lang w:eastAsia="ar-SA"/>
        </w:rPr>
        <w:t>Галинуровна</w:t>
      </w:r>
      <w:proofErr w:type="spellEnd"/>
      <w:r w:rsidRPr="000A4A0A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AC768C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«29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</w:t>
      </w:r>
      <w:r w:rsidR="004B5818">
        <w:rPr>
          <w:sz w:val="22"/>
          <w:szCs w:val="22"/>
        </w:rPr>
        <w:t xml:space="preserve"> 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AC768C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«30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AC768C">
        <w:rPr>
          <w:sz w:val="22"/>
          <w:szCs w:val="22"/>
        </w:rPr>
        <w:t>: «31</w:t>
      </w:r>
      <w:r w:rsidRPr="000A4A0A">
        <w:rPr>
          <w:sz w:val="22"/>
          <w:szCs w:val="22"/>
        </w:rPr>
        <w:t xml:space="preserve">» </w:t>
      </w:r>
      <w:r w:rsidR="00AC768C">
        <w:rPr>
          <w:sz w:val="22"/>
          <w:szCs w:val="22"/>
        </w:rPr>
        <w:t>октября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</w:t>
      </w:r>
      <w:bookmarkStart w:id="0" w:name="_GoBack"/>
      <w:bookmarkEnd w:id="0"/>
      <w:r w:rsidRPr="000A4A0A">
        <w:rPr>
          <w:sz w:val="22"/>
          <w:szCs w:val="22"/>
        </w:rPr>
        <w:t>8г.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F132AD" w:rsidRPr="006D7884">
        <w:rPr>
          <w:b/>
          <w:sz w:val="22"/>
          <w:szCs w:val="22"/>
        </w:rPr>
        <w:t>Муниципальное бюджетное учреждение «Архив документов по личному составу»</w:t>
      </w:r>
      <w:r w:rsidR="00F132AD">
        <w:rPr>
          <w:color w:val="00000A"/>
          <w:sz w:val="22"/>
          <w:szCs w:val="22"/>
          <w:lang w:eastAsia="ar-SA"/>
        </w:rPr>
        <w:t xml:space="preserve"> Адрес: 423822</w:t>
      </w:r>
      <w:r w:rsidR="00F132AD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F132AD">
        <w:rPr>
          <w:color w:val="00000A"/>
          <w:sz w:val="22"/>
          <w:szCs w:val="22"/>
          <w:lang w:eastAsia="ar-SA"/>
        </w:rPr>
        <w:t xml:space="preserve">улица </w:t>
      </w:r>
      <w:proofErr w:type="spellStart"/>
      <w:r w:rsidR="00F132AD">
        <w:rPr>
          <w:color w:val="00000A"/>
          <w:sz w:val="22"/>
          <w:szCs w:val="22"/>
          <w:lang w:eastAsia="ar-SA"/>
        </w:rPr>
        <w:t>Нариманова</w:t>
      </w:r>
      <w:proofErr w:type="spellEnd"/>
      <w:r w:rsidR="00F132AD">
        <w:rPr>
          <w:color w:val="00000A"/>
          <w:sz w:val="22"/>
          <w:szCs w:val="22"/>
          <w:lang w:eastAsia="ar-SA"/>
        </w:rPr>
        <w:t>, дом 44.</w:t>
      </w:r>
      <w:r w:rsidR="00F132AD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F132AD">
        <w:rPr>
          <w:color w:val="00000A"/>
          <w:sz w:val="22"/>
          <w:szCs w:val="22"/>
          <w:lang w:val="en-US" w:eastAsia="ar-SA"/>
        </w:rPr>
        <w:t>myadls</w:t>
      </w:r>
      <w:proofErr w:type="spellEnd"/>
      <w:r w:rsidR="00F132AD" w:rsidRPr="006D7884">
        <w:rPr>
          <w:color w:val="00000A"/>
          <w:sz w:val="22"/>
          <w:szCs w:val="22"/>
          <w:lang w:eastAsia="ar-SA"/>
        </w:rPr>
        <w:t>@</w:t>
      </w:r>
      <w:r w:rsidR="00F132AD">
        <w:rPr>
          <w:color w:val="00000A"/>
          <w:sz w:val="22"/>
          <w:szCs w:val="22"/>
          <w:lang w:val="en-US" w:eastAsia="ar-SA"/>
        </w:rPr>
        <w:t>mail</w:t>
      </w:r>
      <w:r w:rsidR="00F132AD" w:rsidRPr="006D7884">
        <w:rPr>
          <w:color w:val="00000A"/>
          <w:sz w:val="22"/>
          <w:szCs w:val="22"/>
          <w:lang w:eastAsia="ar-SA"/>
        </w:rPr>
        <w:t>.</w:t>
      </w:r>
      <w:proofErr w:type="spellStart"/>
      <w:r w:rsidR="00F132AD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F132AD">
        <w:rPr>
          <w:color w:val="00000A"/>
          <w:sz w:val="22"/>
          <w:szCs w:val="22"/>
          <w:lang w:eastAsia="ar-SA"/>
        </w:rPr>
        <w:t>, телефон: 8 (8552) 34-39-79</w:t>
      </w:r>
      <w:r w:rsidR="00F132AD" w:rsidRPr="000A4A0A">
        <w:rPr>
          <w:color w:val="00000A"/>
          <w:sz w:val="22"/>
          <w:szCs w:val="22"/>
          <w:lang w:eastAsia="ar-SA"/>
        </w:rPr>
        <w:t>. Контактно</w:t>
      </w:r>
      <w:r w:rsidR="00F132AD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F132AD">
        <w:rPr>
          <w:color w:val="00000A"/>
          <w:sz w:val="22"/>
          <w:szCs w:val="22"/>
          <w:lang w:eastAsia="ar-SA"/>
        </w:rPr>
        <w:t>Ахметшина</w:t>
      </w:r>
      <w:proofErr w:type="spellEnd"/>
      <w:r w:rsidR="00F132AD">
        <w:rPr>
          <w:color w:val="00000A"/>
          <w:sz w:val="22"/>
          <w:szCs w:val="22"/>
          <w:lang w:eastAsia="ar-SA"/>
        </w:rPr>
        <w:t xml:space="preserve"> Эльмира </w:t>
      </w:r>
      <w:proofErr w:type="spellStart"/>
      <w:r w:rsidR="00F132AD">
        <w:rPr>
          <w:color w:val="00000A"/>
          <w:sz w:val="22"/>
          <w:szCs w:val="22"/>
          <w:lang w:eastAsia="ar-SA"/>
        </w:rPr>
        <w:t>Галинуровна</w:t>
      </w:r>
      <w:proofErr w:type="spellEnd"/>
      <w:r w:rsidR="002103B1" w:rsidRPr="000A4A0A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F132AD" w:rsidRPr="006D7884">
        <w:rPr>
          <w:b/>
          <w:sz w:val="22"/>
          <w:szCs w:val="22"/>
        </w:rPr>
        <w:t>Муниципальное бюджетное учреждение «Архив документов по личному составу»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68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6515"/>
    <w:rsid w:val="00FC7D9B"/>
    <w:rsid w:val="00FD04A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80D8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C0FD-7AB6-4903-A891-E4F03C7B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11</Pages>
  <Words>5497</Words>
  <Characters>31337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96</cp:revision>
  <dcterms:created xsi:type="dcterms:W3CDTF">2018-03-22T14:32:00Z</dcterms:created>
  <dcterms:modified xsi:type="dcterms:W3CDTF">2018-09-28T05:50:00Z</dcterms:modified>
</cp:coreProperties>
</file>