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bookmarkStart w:id="0" w:name="_GoBack"/>
      <w:bookmarkEnd w:id="0"/>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ED47B4">
        <w:rPr>
          <w:b/>
          <w:sz w:val="22"/>
          <w:szCs w:val="22"/>
          <w:highlight w:val="yellow"/>
        </w:rPr>
        <w:t>14</w:t>
      </w:r>
      <w:r w:rsidR="00B72A19" w:rsidRPr="004B63ED">
        <w:rPr>
          <w:b/>
          <w:sz w:val="22"/>
          <w:szCs w:val="22"/>
          <w:highlight w:val="yellow"/>
        </w:rPr>
        <w:t xml:space="preserve"> </w:t>
      </w:r>
      <w:r w:rsidR="00ED47B4">
        <w:rPr>
          <w:b/>
          <w:sz w:val="22"/>
          <w:szCs w:val="22"/>
          <w:highlight w:val="yellow"/>
        </w:rPr>
        <w:t>января</w:t>
      </w:r>
      <w:r w:rsidR="002B3C8D" w:rsidRPr="004B63ED">
        <w:rPr>
          <w:b/>
          <w:sz w:val="22"/>
          <w:szCs w:val="22"/>
          <w:highlight w:val="yellow"/>
        </w:rPr>
        <w:t xml:space="preserve"> </w:t>
      </w:r>
      <w:r w:rsidR="00ED47B4">
        <w:rPr>
          <w:b/>
          <w:bCs/>
          <w:sz w:val="22"/>
          <w:szCs w:val="22"/>
          <w:highlight w:val="yellow"/>
        </w:rPr>
        <w:t>2022</w:t>
      </w:r>
      <w:r w:rsidR="000A4A0A" w:rsidRPr="004B63ED">
        <w:rPr>
          <w:b/>
          <w:bCs/>
          <w:sz w:val="22"/>
          <w:szCs w:val="22"/>
          <w:highlight w:val="yellow"/>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г.Набережные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2693"/>
        <w:gridCol w:w="1701"/>
        <w:gridCol w:w="1985"/>
        <w:gridCol w:w="2438"/>
      </w:tblGrid>
      <w:tr w:rsidR="00ED47B4" w:rsidRPr="00ED47B4" w:rsidTr="00ED47B4">
        <w:tc>
          <w:tcPr>
            <w:tcW w:w="817"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Лот №</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Наименование имущества</w:t>
            </w:r>
          </w:p>
        </w:tc>
        <w:tc>
          <w:tcPr>
            <w:tcW w:w="226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Цена </w:t>
            </w:r>
            <w:proofErr w:type="spellStart"/>
            <w:r w:rsidRPr="00ED47B4">
              <w:rPr>
                <w:sz w:val="22"/>
                <w:szCs w:val="22"/>
              </w:rPr>
              <w:t>первона-чального</w:t>
            </w:r>
            <w:proofErr w:type="spellEnd"/>
            <w:r w:rsidRPr="00ED47B4">
              <w:rPr>
                <w:sz w:val="22"/>
                <w:szCs w:val="22"/>
              </w:rPr>
              <w:t xml:space="preserve"> </w:t>
            </w:r>
            <w:proofErr w:type="spellStart"/>
            <w:r w:rsidRPr="00ED47B4">
              <w:rPr>
                <w:sz w:val="22"/>
                <w:szCs w:val="22"/>
              </w:rPr>
              <w:t>предложе-ния</w:t>
            </w:r>
            <w:proofErr w:type="spellEnd"/>
            <w:r w:rsidRPr="00ED47B4">
              <w:rPr>
                <w:sz w:val="22"/>
                <w:szCs w:val="22"/>
              </w:rPr>
              <w:t>, руб.</w:t>
            </w:r>
          </w:p>
        </w:tc>
        <w:tc>
          <w:tcPr>
            <w:tcW w:w="2693"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roofErr w:type="spellStart"/>
            <w:proofErr w:type="gramStart"/>
            <w:r w:rsidRPr="00ED47B4">
              <w:rPr>
                <w:sz w:val="22"/>
                <w:szCs w:val="22"/>
              </w:rPr>
              <w:t>Минималь-ная</w:t>
            </w:r>
            <w:proofErr w:type="spellEnd"/>
            <w:proofErr w:type="gramEnd"/>
            <w:r w:rsidRPr="00ED47B4">
              <w:rPr>
                <w:sz w:val="22"/>
                <w:szCs w:val="22"/>
              </w:rPr>
              <w:t xml:space="preserve"> цена предложения</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(цена отсечения), руб.</w:t>
            </w:r>
          </w:p>
        </w:tc>
        <w:tc>
          <w:tcPr>
            <w:tcW w:w="170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Шаг </w:t>
            </w:r>
            <w:proofErr w:type="gramStart"/>
            <w:r w:rsidRPr="00ED47B4">
              <w:rPr>
                <w:sz w:val="22"/>
                <w:szCs w:val="22"/>
              </w:rPr>
              <w:t>пониже-</w:t>
            </w:r>
            <w:proofErr w:type="spellStart"/>
            <w:r w:rsidRPr="00ED47B4">
              <w:rPr>
                <w:sz w:val="22"/>
                <w:szCs w:val="22"/>
              </w:rPr>
              <w:t>ния</w:t>
            </w:r>
            <w:proofErr w:type="spellEnd"/>
            <w:proofErr w:type="gramEnd"/>
            <w:r w:rsidRPr="00ED47B4">
              <w:rPr>
                <w:sz w:val="22"/>
                <w:szCs w:val="22"/>
              </w:rPr>
              <w:t>,</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1985"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Шаг аукциона,</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Сумма денежных средств, подлежащая перечислению на блокировочный </w:t>
            </w:r>
            <w:proofErr w:type="spellStart"/>
            <w:r w:rsidRPr="00ED47B4">
              <w:rPr>
                <w:sz w:val="22"/>
                <w:szCs w:val="22"/>
              </w:rPr>
              <w:t>субсчет</w:t>
            </w:r>
            <w:proofErr w:type="spellEnd"/>
            <w:r w:rsidRPr="00ED47B4">
              <w:rPr>
                <w:sz w:val="22"/>
                <w:szCs w:val="22"/>
              </w:rPr>
              <w:t xml:space="preserve"> для подачи заявки,</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обеспечение заявки (20%</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от начальной стоимости). С учетом комиссии для участия в аукционе (6000 </w:t>
            </w:r>
            <w:proofErr w:type="spellStart"/>
            <w:r w:rsidRPr="00ED47B4">
              <w:rPr>
                <w:sz w:val="22"/>
                <w:szCs w:val="22"/>
              </w:rPr>
              <w:t>т.руб</w:t>
            </w:r>
            <w:proofErr w:type="spellEnd"/>
            <w:r w:rsidRPr="00ED47B4">
              <w:rPr>
                <w:sz w:val="22"/>
                <w:szCs w:val="22"/>
              </w:rPr>
              <w:t>)</w:t>
            </w:r>
          </w:p>
        </w:tc>
      </w:tr>
      <w:tr w:rsidR="00ED47B4" w:rsidRPr="00ED47B4" w:rsidTr="00ED47B4">
        <w:tc>
          <w:tcPr>
            <w:tcW w:w="817" w:type="dxa"/>
          </w:tcPr>
          <w:p w:rsidR="00ED47B4" w:rsidRPr="00ED47B4" w:rsidRDefault="00ED47B4" w:rsidP="00ED47B4">
            <w:pPr>
              <w:widowControl w:val="0"/>
              <w:numPr>
                <w:ilvl w:val="0"/>
                <w:numId w:val="35"/>
              </w:numPr>
              <w:tabs>
                <w:tab w:val="left" w:pos="140"/>
              </w:tabs>
              <w:autoSpaceDE w:val="0"/>
              <w:autoSpaceDN w:val="0"/>
              <w:adjustRightInd w:val="0"/>
              <w:jc w:val="both"/>
              <w:rPr>
                <w:sz w:val="22"/>
                <w:szCs w:val="22"/>
              </w:rPr>
            </w:pP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Автотранспортное средство марки бульдозер ДЗ-171-1, год выпуска 2000, модель, номер двигателя – 455, шасси (рама) 0068 (34567), цвет красны</w:t>
            </w:r>
          </w:p>
        </w:tc>
        <w:tc>
          <w:tcPr>
            <w:tcW w:w="2268"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385000,00</w:t>
            </w:r>
          </w:p>
        </w:tc>
        <w:tc>
          <w:tcPr>
            <w:tcW w:w="2693"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192500,00</w:t>
            </w:r>
          </w:p>
        </w:tc>
        <w:tc>
          <w:tcPr>
            <w:tcW w:w="1701"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19250,00</w:t>
            </w:r>
          </w:p>
        </w:tc>
        <w:tc>
          <w:tcPr>
            <w:tcW w:w="1985" w:type="dxa"/>
            <w:vAlign w:val="center"/>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9625,00</w:t>
            </w:r>
          </w:p>
        </w:tc>
        <w:tc>
          <w:tcPr>
            <w:tcW w:w="243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83 000,00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B66B85" w:rsidRDefault="000A4A0A" w:rsidP="000A4A0A">
      <w:pPr>
        <w:jc w:val="both"/>
        <w:rPr>
          <w:sz w:val="22"/>
          <w:szCs w:val="22"/>
          <w:highlight w:val="yellow"/>
        </w:rPr>
      </w:pPr>
      <w:r w:rsidRPr="00B66B85">
        <w:rPr>
          <w:b/>
          <w:sz w:val="22"/>
          <w:szCs w:val="22"/>
          <w:highlight w:val="yellow"/>
        </w:rPr>
        <w:t xml:space="preserve">Дата и время окончания срока подачи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jc w:val="both"/>
        <w:rPr>
          <w:b/>
          <w:bCs/>
          <w:sz w:val="22"/>
          <w:szCs w:val="22"/>
          <w:highlight w:val="yellow"/>
        </w:rPr>
      </w:pPr>
      <w:r>
        <w:rPr>
          <w:sz w:val="22"/>
          <w:szCs w:val="22"/>
          <w:highlight w:val="yellow"/>
        </w:rPr>
        <w:t>«</w:t>
      </w:r>
      <w:r w:rsidR="00ED47B4">
        <w:rPr>
          <w:sz w:val="22"/>
          <w:szCs w:val="22"/>
          <w:highlight w:val="yellow"/>
        </w:rPr>
        <w:t>12</w:t>
      </w:r>
      <w:r w:rsidR="000A4A0A" w:rsidRPr="00B66B85">
        <w:rPr>
          <w:sz w:val="22"/>
          <w:szCs w:val="22"/>
          <w:highlight w:val="yellow"/>
        </w:rPr>
        <w:t xml:space="preserve">» </w:t>
      </w:r>
      <w:r w:rsidR="00ED47B4">
        <w:rPr>
          <w:sz w:val="22"/>
          <w:szCs w:val="22"/>
          <w:highlight w:val="yellow"/>
        </w:rPr>
        <w:t>января</w:t>
      </w:r>
      <w:r w:rsidR="00333618" w:rsidRPr="00B66B85">
        <w:rPr>
          <w:sz w:val="22"/>
          <w:szCs w:val="22"/>
          <w:highlight w:val="yellow"/>
        </w:rPr>
        <w:t xml:space="preserve"> </w:t>
      </w:r>
      <w:r w:rsidR="00ED47B4">
        <w:rPr>
          <w:sz w:val="22"/>
          <w:szCs w:val="22"/>
          <w:highlight w:val="yellow"/>
        </w:rPr>
        <w:t>2022</w:t>
      </w:r>
      <w:r w:rsidR="00B66B85" w:rsidRPr="00B66B85">
        <w:rPr>
          <w:sz w:val="22"/>
          <w:szCs w:val="22"/>
          <w:highlight w:val="yellow"/>
        </w:rPr>
        <w:t xml:space="preserve"> </w:t>
      </w:r>
      <w:r w:rsidR="004B5818" w:rsidRPr="00B66B85">
        <w:rPr>
          <w:sz w:val="22"/>
          <w:szCs w:val="22"/>
          <w:highlight w:val="yellow"/>
        </w:rPr>
        <w:t>г. 17</w:t>
      </w:r>
      <w:r w:rsidR="000A4A0A" w:rsidRPr="00B66B85">
        <w:rPr>
          <w:sz w:val="22"/>
          <w:szCs w:val="22"/>
          <w:highlight w:val="yellow"/>
        </w:rPr>
        <w:t>:00</w:t>
      </w:r>
    </w:p>
    <w:p w:rsidR="000A4A0A" w:rsidRPr="00B66B85" w:rsidRDefault="000A4A0A" w:rsidP="000A4A0A">
      <w:pPr>
        <w:jc w:val="both"/>
        <w:rPr>
          <w:sz w:val="22"/>
          <w:szCs w:val="22"/>
          <w:highlight w:val="yellow"/>
        </w:rPr>
      </w:pPr>
      <w:r w:rsidRPr="00B66B85">
        <w:rPr>
          <w:b/>
          <w:bCs/>
          <w:sz w:val="22"/>
          <w:szCs w:val="22"/>
          <w:highlight w:val="yellow"/>
        </w:rPr>
        <w:t>Дата окончания срока</w:t>
      </w:r>
      <w:r w:rsidRPr="00B66B85">
        <w:rPr>
          <w:b/>
          <w:sz w:val="22"/>
          <w:szCs w:val="22"/>
          <w:highlight w:val="yellow"/>
        </w:rPr>
        <w:t xml:space="preserve"> рассмотрения первых частей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tabs>
          <w:tab w:val="left" w:pos="1575"/>
        </w:tabs>
        <w:rPr>
          <w:sz w:val="22"/>
          <w:szCs w:val="22"/>
          <w:highlight w:val="yellow"/>
        </w:rPr>
      </w:pPr>
      <w:r>
        <w:rPr>
          <w:sz w:val="22"/>
          <w:szCs w:val="22"/>
          <w:highlight w:val="yellow"/>
        </w:rPr>
        <w:t>«</w:t>
      </w:r>
      <w:r w:rsidR="00ED47B4">
        <w:rPr>
          <w:sz w:val="22"/>
          <w:szCs w:val="22"/>
          <w:highlight w:val="yellow"/>
        </w:rPr>
        <w:t>13</w:t>
      </w:r>
      <w:r w:rsidR="000A4A0A" w:rsidRPr="00B66B85">
        <w:rPr>
          <w:sz w:val="22"/>
          <w:szCs w:val="22"/>
          <w:highlight w:val="yellow"/>
        </w:rPr>
        <w:t xml:space="preserve">» </w:t>
      </w:r>
      <w:r w:rsidR="00ED47B4">
        <w:rPr>
          <w:sz w:val="22"/>
          <w:szCs w:val="22"/>
          <w:highlight w:val="yellow"/>
        </w:rPr>
        <w:t>января 2022</w:t>
      </w:r>
      <w:r w:rsidR="00B66B85" w:rsidRPr="00B66B85">
        <w:rPr>
          <w:sz w:val="22"/>
          <w:szCs w:val="22"/>
          <w:highlight w:val="yellow"/>
        </w:rPr>
        <w:t xml:space="preserve"> </w:t>
      </w:r>
      <w:r w:rsidR="000A4A0A" w:rsidRPr="00B66B85">
        <w:rPr>
          <w:sz w:val="22"/>
          <w:szCs w:val="22"/>
          <w:highlight w:val="yellow"/>
        </w:rPr>
        <w:t>г.</w:t>
      </w:r>
    </w:p>
    <w:p w:rsidR="000A4A0A" w:rsidRPr="000A4A0A" w:rsidRDefault="000A4A0A" w:rsidP="000A4A0A">
      <w:pPr>
        <w:jc w:val="both"/>
        <w:rPr>
          <w:sz w:val="22"/>
          <w:szCs w:val="22"/>
        </w:rPr>
      </w:pPr>
      <w:r w:rsidRPr="00B66B85">
        <w:rPr>
          <w:b/>
          <w:sz w:val="22"/>
          <w:szCs w:val="22"/>
          <w:highlight w:val="yellow"/>
        </w:rPr>
        <w:lastRenderedPageBreak/>
        <w:t xml:space="preserve">Дата проведения </w:t>
      </w:r>
      <w:r w:rsidR="002748C1" w:rsidRPr="00B66B85">
        <w:rPr>
          <w:b/>
          <w:sz w:val="22"/>
          <w:szCs w:val="22"/>
          <w:highlight w:val="yellow"/>
        </w:rPr>
        <w:t>продажи</w:t>
      </w:r>
      <w:r w:rsidR="00F4635E" w:rsidRPr="00B66B85">
        <w:rPr>
          <w:b/>
          <w:sz w:val="22"/>
          <w:szCs w:val="22"/>
          <w:highlight w:val="yellow"/>
        </w:rPr>
        <w:t xml:space="preserve"> посредством публичного предложения в электронной форме</w:t>
      </w:r>
      <w:r w:rsidR="004B63ED">
        <w:rPr>
          <w:sz w:val="22"/>
          <w:szCs w:val="22"/>
          <w:highlight w:val="yellow"/>
        </w:rPr>
        <w:t>: «</w:t>
      </w:r>
      <w:r w:rsidR="00ED47B4">
        <w:rPr>
          <w:sz w:val="22"/>
          <w:szCs w:val="22"/>
          <w:highlight w:val="yellow"/>
        </w:rPr>
        <w:t>14</w:t>
      </w:r>
      <w:r w:rsidRPr="00B66B85">
        <w:rPr>
          <w:sz w:val="22"/>
          <w:szCs w:val="22"/>
          <w:highlight w:val="yellow"/>
        </w:rPr>
        <w:t xml:space="preserve">» </w:t>
      </w:r>
      <w:r w:rsidR="00ED47B4">
        <w:rPr>
          <w:sz w:val="22"/>
          <w:szCs w:val="22"/>
          <w:highlight w:val="yellow"/>
        </w:rPr>
        <w:t>января</w:t>
      </w:r>
      <w:r w:rsidR="00317E88" w:rsidRPr="00B66B85">
        <w:rPr>
          <w:sz w:val="22"/>
          <w:szCs w:val="22"/>
          <w:highlight w:val="yellow"/>
        </w:rPr>
        <w:t xml:space="preserve"> </w:t>
      </w:r>
      <w:r w:rsidR="00ED47B4">
        <w:rPr>
          <w:sz w:val="22"/>
          <w:szCs w:val="22"/>
          <w:highlight w:val="yellow"/>
        </w:rPr>
        <w:t>2022</w:t>
      </w:r>
      <w:r w:rsidR="00B66B85" w:rsidRPr="00B66B85">
        <w:rPr>
          <w:sz w:val="22"/>
          <w:szCs w:val="22"/>
          <w:highlight w:val="yellow"/>
        </w:rPr>
        <w:t xml:space="preserve"> </w:t>
      </w:r>
      <w:r w:rsidRPr="00B66B85">
        <w:rPr>
          <w:sz w:val="22"/>
          <w:szCs w:val="22"/>
          <w:highlight w:val="yellow"/>
        </w:rPr>
        <w:t>г.</w:t>
      </w:r>
      <w:r w:rsidR="00564A30" w:rsidRPr="00B66B85">
        <w:rPr>
          <w:sz w:val="22"/>
          <w:szCs w:val="22"/>
          <w:highlight w:val="yellow"/>
        </w:rPr>
        <w:t>, в 09</w:t>
      </w:r>
      <w:r w:rsidR="004A7070" w:rsidRPr="00B66B85">
        <w:rPr>
          <w:sz w:val="22"/>
          <w:szCs w:val="22"/>
          <w:highlight w:val="yellow"/>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ED47B4">
        <w:rPr>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lastRenderedPageBreak/>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lastRenderedPageBreak/>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lastRenderedPageBreak/>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lastRenderedPageBreak/>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lastRenderedPageBreak/>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w:t>
      </w:r>
      <w:r w:rsidR="00F4635E">
        <w:rPr>
          <w:sz w:val="22"/>
          <w:szCs w:val="22"/>
        </w:rPr>
        <w:t>продажа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гос.номер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lastRenderedPageBreak/>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Д О Г О В О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lastRenderedPageBreak/>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lastRenderedPageBreak/>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3E6A"/>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08D"/>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08729-B03C-41EF-A49B-FF85DE6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D7DD-55DD-4957-877E-8F526F30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6004</Words>
  <Characters>34227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 Куркин</cp:lastModifiedBy>
  <cp:revision>2</cp:revision>
  <cp:lastPrinted>2021-09-17T13:20:00Z</cp:lastPrinted>
  <dcterms:created xsi:type="dcterms:W3CDTF">2021-12-16T13:52:00Z</dcterms:created>
  <dcterms:modified xsi:type="dcterms:W3CDTF">2021-12-16T13:52:00Z</dcterms:modified>
</cp:coreProperties>
</file>