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5A" w:rsidRPr="00981D52" w:rsidRDefault="00282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81D52">
        <w:rPr>
          <w:rFonts w:ascii="Times New Roman" w:hAnsi="Times New Roman"/>
          <w:b/>
          <w:sz w:val="24"/>
          <w:szCs w:val="24"/>
        </w:rPr>
        <w:t>Информация об исполнении регионального проекта</w:t>
      </w:r>
    </w:p>
    <w:p w:rsidR="00DA065A" w:rsidRPr="00981D52" w:rsidRDefault="00282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D52">
        <w:rPr>
          <w:rFonts w:ascii="Times New Roman" w:hAnsi="Times New Roman"/>
          <w:b/>
          <w:sz w:val="24"/>
          <w:szCs w:val="24"/>
        </w:rPr>
        <w:t>«Формирование отрицательного отношения к коррупции»</w:t>
      </w:r>
    </w:p>
    <w:p w:rsidR="00DA065A" w:rsidRPr="00981D52" w:rsidRDefault="00DA06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DA065A" w:rsidRPr="00981D52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№</w:t>
            </w:r>
            <w:r w:rsidRPr="00981D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1D5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№</w:t>
            </w:r>
            <w:r w:rsidRPr="00981D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1D52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DA065A" w:rsidRPr="00981D52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DA065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DA065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DA065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DA065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65A" w:rsidRPr="00981D52" w:rsidRDefault="00DA0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6" w:type="dxa"/>
        <w:tblLayout w:type="fixed"/>
        <w:tblLook w:val="04A0" w:firstRow="1" w:lastRow="0" w:firstColumn="1" w:lastColumn="0" w:noHBand="0" w:noVBand="1"/>
      </w:tblPr>
      <w:tblGrid>
        <w:gridCol w:w="647"/>
        <w:gridCol w:w="3742"/>
        <w:gridCol w:w="2976"/>
        <w:gridCol w:w="8581"/>
      </w:tblGrid>
      <w:tr w:rsidR="00DA065A" w:rsidRPr="00981D52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065A" w:rsidRPr="00981D52">
        <w:trPr>
          <w:trHeight w:val="343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DA065A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D52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981D52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DA065A" w:rsidRPr="00981D52" w:rsidRDefault="00DA065A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В муниципальном образовании город Набережные Челны проводится еженедельный анализ поступивших обращений граждан и организаций, анализ сроков, качества и полноты их исполнения. Итоги подводятся еженедельно на аппаратном совещании с участием Мэра города или Руководителя Исполнительного комитета.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На официальном сайте города проводится опрос общественного мнения о состоянии коррупции.</w:t>
            </w:r>
          </w:p>
        </w:tc>
      </w:tr>
      <w:tr w:rsidR="00DA065A" w:rsidRPr="00981D52">
        <w:trPr>
          <w:trHeight w:val="470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DA065A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981D52" w:rsidRDefault="00282097">
            <w:pPr>
              <w:widowControl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DA065A" w:rsidRPr="00981D52" w:rsidRDefault="00DA065A">
            <w:pPr>
              <w:widowControl w:val="0"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065A" w:rsidRPr="00981D52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5" w:tgtFrame="_blank">
              <w:r w:rsidRPr="00981D52"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Все проекты муниципальных нормативных правовых актов размещаются на официальном сайте города с опубликованием следующих данных: дата начала экспертизы, дата окончания экспертизы, контактные данные разработчика (ФИО ответственного лица, телефоны, адреса электронной почты).</w:t>
            </w:r>
          </w:p>
        </w:tc>
      </w:tr>
    </w:tbl>
    <w:p w:rsidR="00DA065A" w:rsidRPr="00981D52" w:rsidRDefault="00DA0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981D52" w:rsidRDefault="00DA0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981D52" w:rsidRDefault="00DA0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981D52" w:rsidRDefault="00DA0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CF6" w:rsidRDefault="00F51C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981D52" w:rsidRDefault="00282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D52">
        <w:rPr>
          <w:rFonts w:ascii="Times New Roman" w:hAnsi="Times New Roman"/>
          <w:b/>
          <w:sz w:val="24"/>
          <w:szCs w:val="24"/>
        </w:rPr>
        <w:lastRenderedPageBreak/>
        <w:t xml:space="preserve">Информация об исполнении комплекса процессных мероприятий </w:t>
      </w:r>
    </w:p>
    <w:p w:rsidR="00DA065A" w:rsidRPr="00981D52" w:rsidRDefault="00282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1D52">
        <w:rPr>
          <w:rFonts w:ascii="Times New Roman" w:hAnsi="Times New Roman"/>
          <w:b/>
          <w:sz w:val="24"/>
          <w:szCs w:val="24"/>
        </w:rPr>
        <w:t>«Совершенствование антикоррупционной политики Республики Татарстан»</w:t>
      </w:r>
    </w:p>
    <w:p w:rsidR="00DA065A" w:rsidRPr="00981D52" w:rsidRDefault="00DA065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65A" w:rsidRPr="00981D52" w:rsidRDefault="00DA06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DA065A" w:rsidRPr="00981D52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№</w:t>
            </w:r>
            <w:r w:rsidRPr="00981D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1D5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№</w:t>
            </w:r>
            <w:r w:rsidRPr="00981D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1D52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DA065A" w:rsidRPr="00981D52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DA065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DA065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DA065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981D52" w:rsidRDefault="00DA065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65A" w:rsidRPr="00981D52" w:rsidRDefault="00DA0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DA065A" w:rsidRPr="00981D52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065A" w:rsidRPr="00981D52">
        <w:trPr>
          <w:trHeight w:val="343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DA065A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D52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981D52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DA065A" w:rsidRPr="00981D52" w:rsidRDefault="00DA065A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 w:rsidP="00282097">
            <w:pPr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В 1 полугодии 2025 года нормативные правовые акты не разрабатывались.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6" w:anchor="/document/196300/entry/0" w:history="1">
              <w:r w:rsidRPr="00981D52"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 w:rsidRPr="00981D52"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7" w:anchor="/document/8166002/entry/0" w:history="1">
              <w:r w:rsidRPr="00981D52"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 w:rsidRPr="00981D52">
              <w:rPr>
                <w:rFonts w:ascii="Times New Roman" w:hAnsi="Times New Roman"/>
                <w:sz w:val="24"/>
                <w:szCs w:val="24"/>
              </w:rPr>
              <w:t xml:space="preserve"> Президента Республики Татарстан № УП-711, соблюдение </w:t>
            </w: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Распоряжением Исполнительного комитета от 03.02.2025 № 196-р «Об определении должностных лиц, ответственных за профилактику коррупционных и иных правонарушений в Исполнительном комитете муниципального образования город Набережные Челны определены должностные лица, ответственные за профилактику коррупционных и иных правонарушений с выполнением функций законодательства о противодействии коррупции.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Для определения должностей муниципальной службы, замещение которых связано с повышенным коррупционным риском в органах местного самоуправления, издано Постановление Мэра города от 21.11.2014 № М 692 (с изм. от 24.02.2015 № 58, от 01.02.2016 № М 34, от 29.06.2018 № М 293, от 14.05.2021 № М 186, от 14.03.2022 № М 94, от 17.06.2022 № М 254, от 02.11.2022 № М 484, от 24.03.2023 № М 113, от 03.10.2023 № М 454, от 20.12.2023 № М 604, от 20.02.2024 № М 72, 11.07.2024 № М355, 19.12.2024 № М605) «Об утверждении положения о представлении гражданами, претендующими на замещение должностей муниципальной службы в муниципальном образовании город Набережные Челны,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город Набережные Челны сведений о доходах, расходах, об имуществе и обязательствах имущественного характера», которым утвержден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в муниципальном образовании город Набережные Челны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 в Исполнительном комитете муниципального образования город Набережные Челны,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</w:t>
            </w: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ственного характера своих супруги (супруга) и несовершеннолетних детей утвержден распоряжением Исполнительного комитета от 19.01.2018 № 39-р (с изм. от 15.02.2018 № 102-р; от 09.07.2020 № 417-р; от 03.02.2021 № 60-р, от 09.08.2022 №619-р, от 20.04.2023 №853-р, от 16.02.2024 №276-р, 13.12.2024 № 2595-р).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на постоянной основе проводится актуализация сведений, содержащихся в анкетах, предоставляемых при поступлении на муниципальную службу, и анализ сведений о родственниках на предмет выявления возможного конфликта интересов.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 xml:space="preserve"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</w:t>
            </w: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С начала года через электронную базу Межрегиональной инспекции Федеральной налоговой службы РФ сведений, содержащихся в Едином государственном реестре юридических лиц (ЕГРЮЛ) и Едином государственном реестре индивидуальных предпринимателей (ЕГРИП), на предмет участия в предпринимательской деятельности проверено 38 граждан, претендующих на замещение вакантных должностей муниципальной службы, при назначении на должности муниципальной службы и 213 муниципальных служащих. Нарушений законодательства не установлено.</w:t>
            </w:r>
          </w:p>
          <w:p w:rsidR="00DA065A" w:rsidRPr="00981D52" w:rsidRDefault="00282097" w:rsidP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В области профилактики коррупционных и иных правонарушений проведены проверки на наличие судимости 38 граждан, претендующих на замещение должностей муниципальной службы. По сведениям МВД, информация о судимости отсутствует. Нарушений законодательства не установлено.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проводится мониторинг участия муниципальных служащих в управлении коммерческими и некоммерческими организациями. В отчётном периоде данных не выявлено.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hyperlink r:id="rId8" w:anchor="/document/12164203/entry/133" w:history="1">
              <w:r w:rsidRPr="00981D52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 w:rsidRPr="00981D52"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 xml:space="preserve">В соответствии с поручением Премьер-министра Республики Татарстан </w:t>
            </w:r>
            <w:proofErr w:type="spellStart"/>
            <w:r w:rsidRPr="00981D52">
              <w:rPr>
                <w:rFonts w:ascii="Times New Roman" w:hAnsi="Times New Roman"/>
                <w:sz w:val="24"/>
                <w:szCs w:val="24"/>
              </w:rPr>
              <w:t>Песошина</w:t>
            </w:r>
            <w:proofErr w:type="spellEnd"/>
            <w:r w:rsidRPr="00981D52">
              <w:rPr>
                <w:rFonts w:ascii="Times New Roman" w:hAnsi="Times New Roman"/>
                <w:sz w:val="24"/>
                <w:szCs w:val="24"/>
              </w:rPr>
              <w:t xml:space="preserve"> А.В. от 10.06.2018 № 32891-АП изменения, предусматривающие включение положений о предотвращении и урегулировании конфликта интересов, внесены: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- в уставы 283 подведомственных муниципальных учреждений;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- в 281 трудовой договор руководителей муниципальных учреждений и 17568 трудовых договоров сотрудников подведомственных учреждений.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pStyle w:val="a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_399023"/>
            <w:bookmarkEnd w:id="1"/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DA065A" w:rsidRPr="00981D52" w:rsidRDefault="00282097">
            <w:pPr>
              <w:pStyle w:val="a0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p_399024"/>
            <w:bookmarkEnd w:id="2"/>
            <w:r w:rsidRPr="00981D52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 w:rsidP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 работы комиссии по координации работы по противодействию коррупции при Мэре города Набережные Челны на 2025 год утвержден. На отчетную дату проведено 2 заседания комиссии по координации работы по противодействию коррупции при Мэре города Набережные Челны.</w:t>
            </w:r>
          </w:p>
        </w:tc>
      </w:tr>
      <w:tr w:rsidR="00DA065A" w:rsidRPr="00981D52">
        <w:trPr>
          <w:trHeight w:val="787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 xml:space="preserve">Задача 2. Выявление и устранение </w:t>
            </w:r>
            <w:proofErr w:type="spellStart"/>
            <w:r w:rsidRPr="00981D52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981D52">
              <w:rPr>
                <w:rFonts w:ascii="Times New Roman" w:hAnsi="Times New Roman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7154C5" w:rsidP="00F20E4F">
            <w:pPr>
              <w:widowControl w:val="0"/>
              <w:spacing w:after="0" w:line="240" w:lineRule="auto"/>
            </w:pPr>
            <w:r w:rsidRPr="007154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1 полугодие 2025 года проведена антикоррупционная экспертиза в отношении 101 проекта нормативного правового акта и 12 нормативных правовых актов. </w:t>
            </w:r>
            <w:r w:rsidR="00540864" w:rsidRPr="005408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Внесено 1 изменение по итогам прокурорского реагирования</w:t>
            </w:r>
            <w:r w:rsidR="005408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A065A" w:rsidRPr="00981D52">
        <w:trPr>
          <w:trHeight w:val="708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 xml:space="preserve"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</w:t>
            </w: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С целью формирования у муниципальных служащих и работников муниципальных организаций</w:t>
            </w:r>
            <w:r w:rsidR="00F51CF6" w:rsidRPr="00981D52">
              <w:rPr>
                <w:rFonts w:ascii="Times New Roman" w:hAnsi="Times New Roman"/>
                <w:sz w:val="24"/>
                <w:szCs w:val="24"/>
              </w:rPr>
              <w:t xml:space="preserve"> отрицательного отношения к коррупции</w:t>
            </w:r>
            <w:r w:rsidRPr="00981D52">
              <w:rPr>
                <w:rFonts w:ascii="Times New Roman" w:hAnsi="Times New Roman"/>
                <w:sz w:val="24"/>
                <w:szCs w:val="24"/>
              </w:rPr>
              <w:t xml:space="preserve"> проводится следующая работа: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 xml:space="preserve">    1. На официальном сайте города www.nabchelny.ru размещены: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- муниципальные правовые акты по вопросам организации муниципальной службы в муниципальном образовании город Набережные Челны, обеспечивающие соблюдение муниципальными служащими запретов и ограничений, установленных законодательством о противодействии коррупции;</w:t>
            </w:r>
          </w:p>
          <w:p w:rsidR="00DA065A" w:rsidRPr="00981D52" w:rsidRDefault="00F51C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сведения о доходах, расходах, </w:t>
            </w:r>
            <w:r w:rsidR="00282097" w:rsidRPr="00981D52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муниципальных служащих и членов их семей;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-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Челны.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2. 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к руководителю;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 xml:space="preserve"> - оперативн</w:t>
            </w:r>
            <w:r w:rsidR="00F51CF6">
              <w:rPr>
                <w:rFonts w:ascii="Times New Roman" w:hAnsi="Times New Roman"/>
                <w:sz w:val="24"/>
                <w:szCs w:val="24"/>
              </w:rPr>
              <w:t>ую</w:t>
            </w:r>
            <w:r w:rsidRPr="00981D52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 w:rsidR="00F51CF6">
              <w:rPr>
                <w:rFonts w:ascii="Times New Roman" w:hAnsi="Times New Roman"/>
                <w:sz w:val="24"/>
                <w:szCs w:val="24"/>
              </w:rPr>
              <w:t>ю</w:t>
            </w:r>
            <w:r w:rsidRPr="00981D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3. Муниципальным служащим выдаются памятки с основными правами и обязанностями, ограничениями и запретами, связанными с нахождением на муниципальной службе.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4. В феврале 2025 года управлением персоналом и муниципальной службой Исполнительного комитета было организовано семинар-совещание для муниципальных служащих и руководителей муниципальных учреждений с участием помощника Прокурора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доходах, расходах, об имуществе и обязательствах имущественного характера и заполнения соответствующей формы справки; о типичных ошибках, допускаемых муниципальными служащими.</w:t>
            </w:r>
          </w:p>
          <w:p w:rsidR="00DA065A" w:rsidRPr="00981D52" w:rsidRDefault="00DA06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65A" w:rsidRPr="00981D52" w:rsidTr="009C0D4C">
        <w:trPr>
          <w:trHeight w:val="2119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 w:rsidP="00282097">
            <w:pPr>
              <w:jc w:val="both"/>
            </w:pPr>
            <w:r w:rsidRPr="00981D52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отчета о реализации программ противодействия коррупции во 2-м квартале 2025 г. не состоялось.</w:t>
            </w:r>
          </w:p>
        </w:tc>
      </w:tr>
      <w:tr w:rsidR="00DA065A" w:rsidRPr="00981D52">
        <w:trPr>
          <w:trHeight w:val="623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официальном сайте города Набережные Челны в разделе «Полезная информация» размещена Интернет-приемная.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учреждениях образования, молодежных центрах и спортивн</w:t>
            </w:r>
            <w:r w:rsidR="00F51C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ых учреждениях города работают телефоны доверия</w:t>
            </w:r>
            <w:r w:rsidRPr="00981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(горячей линии); установлены ящики для обращений, ведется работа по выявлению причин и условий возникновения правонарушений.  Определены дни приема по личным вопросам администрациями учреждений.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официальном сайте города в разделе «Противодействие коррупции» указан телефон доверия, по которому могут обратиться все желающие. Регламент работы телефона доверия размещен на официальном сайте города. В отчетном периоде звонков не поступало.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служащих, а также в СМИ. За отчетный период сообщения о проявлениях коррупции на телефон доверия не поступали и  в социальных сетях не размещались.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руководителю;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 xml:space="preserve"> - оперативную информацию.</w:t>
            </w:r>
          </w:p>
        </w:tc>
      </w:tr>
      <w:tr w:rsidR="00DA065A" w:rsidRPr="00981D52">
        <w:trPr>
          <w:trHeight w:val="601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suppressAutoHyphens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color w:val="000000"/>
                <w:sz w:val="24"/>
                <w:szCs w:val="24"/>
              </w:rPr>
              <w:t>В муниципальном образовании город Набережные Челны закупки товаров, работ, услуг для муниципальных нужд осуществляются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A065A" w:rsidRPr="00981D52">
        <w:trPr>
          <w:trHeight w:val="376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</w:pPr>
            <w:r w:rsidRPr="00981D52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ведется постоянно. В отчетный период обращений граждан, носящих коррупционный характер, не поступало.</w:t>
            </w:r>
          </w:p>
        </w:tc>
      </w:tr>
      <w:tr w:rsidR="00DA065A" w:rsidRPr="00981D52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 xml:space="preserve">8.8. Осуществление контроля за применением предусмотренных законодательством мер юридической ответственности в каждом случае несоблюдения запретов, </w:t>
            </w: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97" w:rsidRPr="00981D52" w:rsidRDefault="00282097" w:rsidP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осуществляется систематически.</w:t>
            </w:r>
          </w:p>
          <w:p w:rsidR="00DA065A" w:rsidRPr="00981D52" w:rsidRDefault="00282097" w:rsidP="002820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6 месяцев 2025 года рассмотрено 3 материала в отношении муниципальных служащих о несоблюдении запретов, ограничений и требований, установленных в целях противодействия коррупции (по представлению прокуратуры),  в отношении трех муниципальных служащих было рекомендовано применить конкретную меру дисциплинарной ответственности.</w:t>
            </w:r>
          </w:p>
        </w:tc>
      </w:tr>
      <w:tr w:rsidR="00DA065A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napToGrid w:val="0"/>
              <w:spacing w:after="0" w:line="240" w:lineRule="auto"/>
              <w:jc w:val="center"/>
            </w:pPr>
            <w:r w:rsidRPr="00981D52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9" w:anchor="/document/12164203/entry/0" w:history="1">
              <w:r w:rsidRPr="00981D52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 w:rsidRPr="00981D52"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81D52" w:rsidRDefault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97" w:rsidRPr="00981D52" w:rsidRDefault="00282097" w:rsidP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осуществляется систематически.</w:t>
            </w:r>
          </w:p>
          <w:p w:rsidR="00DA065A" w:rsidRPr="00981D52" w:rsidRDefault="00282097" w:rsidP="002820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2">
              <w:rPr>
                <w:rFonts w:ascii="Times New Roman" w:hAnsi="Times New Roman"/>
                <w:sz w:val="24"/>
                <w:szCs w:val="24"/>
              </w:rPr>
              <w:t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6 месяцев 2025 года было рекомендовано применить конкретную меру ответственности за несоблюдение законодательства о муниципальной службе и противодействия коррупции в отношении трех муниципальных служащих.</w:t>
            </w:r>
          </w:p>
        </w:tc>
      </w:tr>
    </w:tbl>
    <w:p w:rsidR="00DA065A" w:rsidRDefault="00DA065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065A">
      <w:pgSz w:w="16838" w:h="11906" w:orient="landscape"/>
      <w:pgMar w:top="1134" w:right="567" w:bottom="1134" w:left="567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0E1C"/>
    <w:multiLevelType w:val="multilevel"/>
    <w:tmpl w:val="FCFE58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330AA9"/>
    <w:multiLevelType w:val="multilevel"/>
    <w:tmpl w:val="36D84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5A"/>
    <w:rsid w:val="00282097"/>
    <w:rsid w:val="00540864"/>
    <w:rsid w:val="007154C5"/>
    <w:rsid w:val="00981D52"/>
    <w:rsid w:val="009C0D4C"/>
    <w:rsid w:val="00AF0B64"/>
    <w:rsid w:val="00DA065A"/>
    <w:rsid w:val="00F20E4F"/>
    <w:rsid w:val="00F5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D3B9A-15E9-4D06-8D0D-9E714842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  <w:qFormat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atarstan.ru/regul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admin</cp:lastModifiedBy>
  <cp:revision>2</cp:revision>
  <cp:lastPrinted>2025-06-26T10:46:00Z</cp:lastPrinted>
  <dcterms:created xsi:type="dcterms:W3CDTF">2025-06-27T06:19:00Z</dcterms:created>
  <dcterms:modified xsi:type="dcterms:W3CDTF">2025-06-27T06:19:00Z</dcterms:modified>
  <dc:language>ru-RU</dc:language>
</cp:coreProperties>
</file>