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(транспортное средство</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07427E" w:rsidRDefault="004B63ED" w:rsidP="004649CE">
      <w:pPr>
        <w:ind w:right="-1" w:firstLine="708"/>
        <w:jc w:val="both"/>
        <w:rPr>
          <w:sz w:val="22"/>
          <w:szCs w:val="22"/>
        </w:rPr>
      </w:pPr>
      <w:r w:rsidRPr="0020069C">
        <w:rPr>
          <w:b/>
          <w:color w:val="000000" w:themeColor="text1"/>
          <w:sz w:val="22"/>
          <w:szCs w:val="22"/>
        </w:rPr>
        <w:t>МУНИЦИПАЛЬНОЕ УНИТАРНОЕ ПРЕДПРИЯТИЕ ГОРОДА НАБЕРЕЖНЫЕ ЧЕЛНЫ "ГОРКОММУНХОЗ"</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002635ED">
        <w:rPr>
          <w:b/>
          <w:sz w:val="22"/>
          <w:szCs w:val="22"/>
          <w:highlight w:val="yellow"/>
        </w:rPr>
        <w:t>14</w:t>
      </w:r>
      <w:r w:rsidR="00B72A19" w:rsidRPr="004B63ED">
        <w:rPr>
          <w:b/>
          <w:sz w:val="22"/>
          <w:szCs w:val="22"/>
          <w:highlight w:val="yellow"/>
        </w:rPr>
        <w:t xml:space="preserve"> </w:t>
      </w:r>
      <w:r w:rsidR="00D70709">
        <w:rPr>
          <w:b/>
          <w:sz w:val="22"/>
          <w:szCs w:val="22"/>
          <w:highlight w:val="yellow"/>
        </w:rPr>
        <w:t>декабря</w:t>
      </w:r>
      <w:r w:rsidR="002635ED" w:rsidRPr="002635ED">
        <w:rPr>
          <w:b/>
          <w:sz w:val="22"/>
          <w:szCs w:val="22"/>
          <w:highlight w:val="yellow"/>
        </w:rPr>
        <w:t xml:space="preserve"> </w:t>
      </w:r>
      <w:r w:rsidR="00ED47B4">
        <w:rPr>
          <w:b/>
          <w:bCs/>
          <w:sz w:val="22"/>
          <w:szCs w:val="22"/>
          <w:highlight w:val="yellow"/>
        </w:rPr>
        <w:t>2022</w:t>
      </w:r>
      <w:r w:rsidR="000A4A0A" w:rsidRPr="004B63ED">
        <w:rPr>
          <w:b/>
          <w:bCs/>
          <w:sz w:val="22"/>
          <w:szCs w:val="22"/>
          <w:highlight w:val="yellow"/>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(транспортные средства</w:t>
      </w:r>
      <w:r w:rsidR="000A4A0A" w:rsidRPr="000A4A0A">
        <w:rPr>
          <w:sz w:val="22"/>
          <w:szCs w:val="22"/>
        </w:rPr>
        <w:t>) на территории г.Набережные Челны:</w:t>
      </w:r>
    </w:p>
    <w:p w:rsidR="00070A11" w:rsidRDefault="00070A11" w:rsidP="00AA0BEE">
      <w:pPr>
        <w:widowControl w:val="0"/>
        <w:tabs>
          <w:tab w:val="left" w:pos="140"/>
        </w:tabs>
        <w:autoSpaceDE w:val="0"/>
        <w:autoSpaceDN w:val="0"/>
        <w:adjustRightInd w:val="0"/>
        <w:ind w:firstLine="284"/>
        <w:jc w:val="both"/>
        <w:rPr>
          <w:sz w:val="22"/>
          <w:szCs w:val="22"/>
        </w:rPr>
      </w:pPr>
    </w:p>
    <w:p w:rsidR="00070A11" w:rsidRPr="00F5456F" w:rsidRDefault="00070A11" w:rsidP="00070A11">
      <w:pPr>
        <w:pStyle w:val="21"/>
        <w:rPr>
          <w:spacing w:val="-20"/>
          <w:sz w:val="18"/>
          <w:szCs w:val="18"/>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2268"/>
        <w:gridCol w:w="2693"/>
        <w:gridCol w:w="1701"/>
        <w:gridCol w:w="1985"/>
        <w:gridCol w:w="2438"/>
      </w:tblGrid>
      <w:tr w:rsidR="00ED47B4" w:rsidRPr="00ED47B4" w:rsidTr="00ED47B4">
        <w:tc>
          <w:tcPr>
            <w:tcW w:w="817"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Лот №</w:t>
            </w: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Наименование имущества</w:t>
            </w:r>
          </w:p>
        </w:tc>
        <w:tc>
          <w:tcPr>
            <w:tcW w:w="2268"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Цена </w:t>
            </w:r>
            <w:proofErr w:type="spellStart"/>
            <w:proofErr w:type="gramStart"/>
            <w:r w:rsidRPr="00ED47B4">
              <w:rPr>
                <w:sz w:val="22"/>
                <w:szCs w:val="22"/>
              </w:rPr>
              <w:t>первона-чального</w:t>
            </w:r>
            <w:proofErr w:type="spellEnd"/>
            <w:proofErr w:type="gramEnd"/>
            <w:r w:rsidRPr="00ED47B4">
              <w:rPr>
                <w:sz w:val="22"/>
                <w:szCs w:val="22"/>
              </w:rPr>
              <w:t xml:space="preserve"> </w:t>
            </w:r>
            <w:proofErr w:type="spellStart"/>
            <w:r w:rsidRPr="00ED47B4">
              <w:rPr>
                <w:sz w:val="22"/>
                <w:szCs w:val="22"/>
              </w:rPr>
              <w:t>предложе-ния</w:t>
            </w:r>
            <w:proofErr w:type="spellEnd"/>
            <w:r w:rsidRPr="00ED47B4">
              <w:rPr>
                <w:sz w:val="22"/>
                <w:szCs w:val="22"/>
              </w:rPr>
              <w:t>, руб.</w:t>
            </w:r>
          </w:p>
        </w:tc>
        <w:tc>
          <w:tcPr>
            <w:tcW w:w="2693" w:type="dxa"/>
          </w:tcPr>
          <w:p w:rsidR="00ED47B4" w:rsidRPr="00ED47B4" w:rsidRDefault="00ED47B4" w:rsidP="00ED47B4">
            <w:pPr>
              <w:widowControl w:val="0"/>
              <w:tabs>
                <w:tab w:val="left" w:pos="140"/>
              </w:tabs>
              <w:autoSpaceDE w:val="0"/>
              <w:autoSpaceDN w:val="0"/>
              <w:adjustRightInd w:val="0"/>
              <w:ind w:firstLine="284"/>
              <w:jc w:val="both"/>
              <w:rPr>
                <w:sz w:val="22"/>
                <w:szCs w:val="22"/>
              </w:rPr>
            </w:pPr>
            <w:proofErr w:type="spellStart"/>
            <w:proofErr w:type="gramStart"/>
            <w:r w:rsidRPr="00ED47B4">
              <w:rPr>
                <w:sz w:val="22"/>
                <w:szCs w:val="22"/>
              </w:rPr>
              <w:t>Минималь-ная</w:t>
            </w:r>
            <w:proofErr w:type="spellEnd"/>
            <w:proofErr w:type="gramEnd"/>
            <w:r w:rsidRPr="00ED47B4">
              <w:rPr>
                <w:sz w:val="22"/>
                <w:szCs w:val="22"/>
              </w:rPr>
              <w:t xml:space="preserve"> цена предложения</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(цена отсечения), руб.</w:t>
            </w:r>
          </w:p>
        </w:tc>
        <w:tc>
          <w:tcPr>
            <w:tcW w:w="170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 xml:space="preserve">Шаг </w:t>
            </w:r>
            <w:proofErr w:type="gramStart"/>
            <w:r w:rsidRPr="00ED47B4">
              <w:rPr>
                <w:sz w:val="22"/>
                <w:szCs w:val="22"/>
              </w:rPr>
              <w:t>пониже-</w:t>
            </w:r>
            <w:proofErr w:type="spellStart"/>
            <w:r w:rsidRPr="00ED47B4">
              <w:rPr>
                <w:sz w:val="22"/>
                <w:szCs w:val="22"/>
              </w:rPr>
              <w:t>ния</w:t>
            </w:r>
            <w:proofErr w:type="spellEnd"/>
            <w:proofErr w:type="gramEnd"/>
            <w:r w:rsidRPr="00ED47B4">
              <w:rPr>
                <w:sz w:val="22"/>
                <w:szCs w:val="22"/>
              </w:rPr>
              <w:t>,</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руб.</w:t>
            </w:r>
          </w:p>
        </w:tc>
        <w:tc>
          <w:tcPr>
            <w:tcW w:w="1985"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Шаг аукциона,</w:t>
            </w:r>
          </w:p>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руб.</w:t>
            </w:r>
          </w:p>
        </w:tc>
        <w:tc>
          <w:tcPr>
            <w:tcW w:w="2438" w:type="dxa"/>
          </w:tcPr>
          <w:p w:rsidR="00ED47B4" w:rsidRPr="00ED47B4" w:rsidRDefault="00ED47B4" w:rsidP="00D70709">
            <w:pPr>
              <w:widowControl w:val="0"/>
              <w:tabs>
                <w:tab w:val="left" w:pos="140"/>
              </w:tabs>
              <w:autoSpaceDE w:val="0"/>
              <w:autoSpaceDN w:val="0"/>
              <w:adjustRightInd w:val="0"/>
              <w:ind w:firstLine="284"/>
              <w:jc w:val="both"/>
              <w:rPr>
                <w:sz w:val="22"/>
                <w:szCs w:val="22"/>
              </w:rPr>
            </w:pPr>
            <w:r w:rsidRPr="00ED47B4">
              <w:rPr>
                <w:sz w:val="22"/>
                <w:szCs w:val="22"/>
              </w:rPr>
              <w:t xml:space="preserve">Сумма денежных средств, подлежащая перечислению на блокировочный </w:t>
            </w:r>
            <w:proofErr w:type="spellStart"/>
            <w:r w:rsidRPr="00ED47B4">
              <w:rPr>
                <w:sz w:val="22"/>
                <w:szCs w:val="22"/>
              </w:rPr>
              <w:t>субсчет</w:t>
            </w:r>
            <w:proofErr w:type="spellEnd"/>
            <w:r w:rsidRPr="00ED47B4">
              <w:rPr>
                <w:sz w:val="22"/>
                <w:szCs w:val="22"/>
              </w:rPr>
              <w:t xml:space="preserve"> для подачи заявки,</w:t>
            </w:r>
            <w:r w:rsidR="00D70709">
              <w:rPr>
                <w:sz w:val="22"/>
                <w:szCs w:val="22"/>
              </w:rPr>
              <w:t xml:space="preserve"> </w:t>
            </w:r>
            <w:r w:rsidRPr="00ED47B4">
              <w:rPr>
                <w:sz w:val="22"/>
                <w:szCs w:val="22"/>
              </w:rPr>
              <w:t>обеспечение заявки (20%</w:t>
            </w:r>
            <w:r w:rsidR="00D70709">
              <w:rPr>
                <w:sz w:val="22"/>
                <w:szCs w:val="22"/>
              </w:rPr>
              <w:t xml:space="preserve"> </w:t>
            </w:r>
            <w:r w:rsidRPr="00ED47B4">
              <w:rPr>
                <w:sz w:val="22"/>
                <w:szCs w:val="22"/>
              </w:rPr>
              <w:t xml:space="preserve">от начальной стоимости). </w:t>
            </w:r>
          </w:p>
        </w:tc>
      </w:tr>
      <w:tr w:rsidR="000E055B" w:rsidRPr="00ED47B4" w:rsidTr="00A43F70">
        <w:tc>
          <w:tcPr>
            <w:tcW w:w="817" w:type="dxa"/>
          </w:tcPr>
          <w:p w:rsidR="000E055B" w:rsidRPr="000E055B" w:rsidRDefault="000E055B" w:rsidP="000E055B">
            <w:pPr>
              <w:pStyle w:val="21"/>
              <w:numPr>
                <w:ilvl w:val="0"/>
                <w:numId w:val="35"/>
              </w:numPr>
              <w:autoSpaceDE/>
              <w:autoSpaceDN/>
              <w:rPr>
                <w:spacing w:val="-20"/>
                <w:sz w:val="22"/>
                <w:szCs w:val="22"/>
              </w:rPr>
            </w:pPr>
          </w:p>
        </w:tc>
        <w:tc>
          <w:tcPr>
            <w:tcW w:w="4111" w:type="dxa"/>
          </w:tcPr>
          <w:p w:rsidR="000E055B" w:rsidRPr="000E055B" w:rsidRDefault="000E055B" w:rsidP="00D70709">
            <w:pPr>
              <w:pStyle w:val="21"/>
              <w:ind w:firstLine="0"/>
              <w:jc w:val="left"/>
              <w:rPr>
                <w:sz w:val="22"/>
                <w:szCs w:val="22"/>
              </w:rPr>
            </w:pPr>
            <w:r w:rsidRPr="000E055B">
              <w:rPr>
                <w:sz w:val="22"/>
                <w:szCs w:val="22"/>
              </w:rPr>
              <w:t>Автотранспортное средство марки КО-440-3 на шасси ГАЗ-3307, тип ТС мусоровоз с боковой загрузкой, год выпуска 2000, модель, номер двигателя – 51100А Y1027141, идентификационный номер (VIN) XVL483210Y0000171, шасси (рама) 330700Y0000199, цвет кузова (кабины) сафари</w:t>
            </w:r>
          </w:p>
        </w:tc>
        <w:tc>
          <w:tcPr>
            <w:tcW w:w="2268" w:type="dxa"/>
            <w:vAlign w:val="center"/>
          </w:tcPr>
          <w:p w:rsidR="000E055B" w:rsidRPr="000E055B" w:rsidRDefault="000E055B" w:rsidP="000E055B">
            <w:pPr>
              <w:pStyle w:val="21"/>
              <w:jc w:val="center"/>
              <w:rPr>
                <w:sz w:val="22"/>
                <w:szCs w:val="22"/>
              </w:rPr>
            </w:pPr>
            <w:r w:rsidRPr="000E055B">
              <w:rPr>
                <w:sz w:val="22"/>
                <w:szCs w:val="22"/>
              </w:rPr>
              <w:t>160 000,00</w:t>
            </w:r>
          </w:p>
        </w:tc>
        <w:tc>
          <w:tcPr>
            <w:tcW w:w="2693" w:type="dxa"/>
            <w:vAlign w:val="center"/>
          </w:tcPr>
          <w:p w:rsidR="000E055B" w:rsidRPr="000E055B" w:rsidRDefault="000E055B" w:rsidP="000E055B">
            <w:pPr>
              <w:pStyle w:val="21"/>
              <w:jc w:val="center"/>
              <w:rPr>
                <w:sz w:val="22"/>
                <w:szCs w:val="22"/>
              </w:rPr>
            </w:pPr>
            <w:r w:rsidRPr="000E055B">
              <w:rPr>
                <w:sz w:val="22"/>
                <w:szCs w:val="22"/>
              </w:rPr>
              <w:t>80 000,00</w:t>
            </w:r>
          </w:p>
        </w:tc>
        <w:tc>
          <w:tcPr>
            <w:tcW w:w="1701" w:type="dxa"/>
            <w:vAlign w:val="center"/>
          </w:tcPr>
          <w:p w:rsidR="000E055B" w:rsidRPr="000E055B" w:rsidRDefault="000E055B" w:rsidP="000E055B">
            <w:pPr>
              <w:pStyle w:val="21"/>
              <w:jc w:val="center"/>
              <w:rPr>
                <w:sz w:val="22"/>
                <w:szCs w:val="22"/>
              </w:rPr>
            </w:pPr>
            <w:r w:rsidRPr="000E055B">
              <w:rPr>
                <w:sz w:val="22"/>
                <w:szCs w:val="22"/>
              </w:rPr>
              <w:t>8 000,00</w:t>
            </w:r>
          </w:p>
        </w:tc>
        <w:tc>
          <w:tcPr>
            <w:tcW w:w="1985" w:type="dxa"/>
            <w:vAlign w:val="center"/>
          </w:tcPr>
          <w:p w:rsidR="000E055B" w:rsidRPr="000E055B" w:rsidRDefault="000E055B" w:rsidP="000E055B">
            <w:pPr>
              <w:pStyle w:val="21"/>
              <w:jc w:val="center"/>
              <w:rPr>
                <w:sz w:val="22"/>
                <w:szCs w:val="22"/>
              </w:rPr>
            </w:pPr>
            <w:r w:rsidRPr="000E055B">
              <w:rPr>
                <w:sz w:val="22"/>
                <w:szCs w:val="22"/>
              </w:rPr>
              <w:t>4 00</w:t>
            </w:r>
            <w:bookmarkStart w:id="0" w:name="_GoBack"/>
            <w:bookmarkEnd w:id="0"/>
            <w:r w:rsidRPr="000E055B">
              <w:rPr>
                <w:sz w:val="22"/>
                <w:szCs w:val="22"/>
              </w:rPr>
              <w:t>0,00</w:t>
            </w:r>
          </w:p>
        </w:tc>
        <w:tc>
          <w:tcPr>
            <w:tcW w:w="2438" w:type="dxa"/>
            <w:vAlign w:val="center"/>
          </w:tcPr>
          <w:p w:rsidR="000E055B" w:rsidRPr="00ED47B4" w:rsidRDefault="00A43F70" w:rsidP="00A43F70">
            <w:pPr>
              <w:widowControl w:val="0"/>
              <w:tabs>
                <w:tab w:val="left" w:pos="140"/>
              </w:tabs>
              <w:autoSpaceDE w:val="0"/>
              <w:autoSpaceDN w:val="0"/>
              <w:adjustRightInd w:val="0"/>
              <w:ind w:firstLine="284"/>
              <w:jc w:val="center"/>
              <w:rPr>
                <w:sz w:val="22"/>
                <w:szCs w:val="22"/>
              </w:rPr>
            </w:pPr>
            <w:r>
              <w:rPr>
                <w:sz w:val="22"/>
                <w:szCs w:val="22"/>
              </w:rPr>
              <w:t>32</w:t>
            </w:r>
            <w:r w:rsidR="0098239C">
              <w:rPr>
                <w:sz w:val="22"/>
                <w:szCs w:val="22"/>
              </w:rPr>
              <w:t> 000,00</w:t>
            </w:r>
          </w:p>
        </w:tc>
      </w:tr>
    </w:tbl>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4B63ED" w:rsidRPr="000A4A0A" w:rsidRDefault="004B63ED" w:rsidP="004B63ED">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Контактно</w:t>
      </w:r>
      <w:r>
        <w:rPr>
          <w:color w:val="00000A"/>
          <w:sz w:val="22"/>
          <w:szCs w:val="22"/>
          <w:lang w:eastAsia="ar-SA"/>
        </w:rPr>
        <w:t xml:space="preserve">е лицо: </w:t>
      </w:r>
      <w:proofErr w:type="spellStart"/>
      <w:r>
        <w:rPr>
          <w:color w:val="00000A"/>
          <w:sz w:val="22"/>
          <w:szCs w:val="22"/>
          <w:lang w:eastAsia="ar-SA"/>
        </w:rPr>
        <w:t>Гиматдинова</w:t>
      </w:r>
      <w:proofErr w:type="spellEnd"/>
      <w:r>
        <w:rPr>
          <w:color w:val="00000A"/>
          <w:sz w:val="22"/>
          <w:szCs w:val="22"/>
          <w:lang w:eastAsia="ar-SA"/>
        </w:rPr>
        <w:t xml:space="preserve"> </w:t>
      </w:r>
      <w:proofErr w:type="spellStart"/>
      <w:r>
        <w:rPr>
          <w:color w:val="00000A"/>
          <w:sz w:val="22"/>
          <w:szCs w:val="22"/>
          <w:lang w:eastAsia="ar-SA"/>
        </w:rPr>
        <w:t>Файруза</w:t>
      </w:r>
      <w:proofErr w:type="spellEnd"/>
      <w:r>
        <w:rPr>
          <w:color w:val="00000A"/>
          <w:sz w:val="22"/>
          <w:szCs w:val="22"/>
          <w:lang w:eastAsia="ar-SA"/>
        </w:rPr>
        <w:t xml:space="preserve"> </w:t>
      </w:r>
      <w:proofErr w:type="spellStart"/>
      <w:r>
        <w:rPr>
          <w:color w:val="00000A"/>
          <w:sz w:val="22"/>
          <w:szCs w:val="22"/>
          <w:lang w:eastAsia="ar-SA"/>
        </w:rPr>
        <w:t>Наиловна</w:t>
      </w:r>
      <w:proofErr w:type="spellEnd"/>
      <w:r>
        <w:rPr>
          <w:color w:val="00000A"/>
          <w:sz w:val="22"/>
          <w:szCs w:val="22"/>
          <w:lang w:eastAsia="ar-SA"/>
        </w:rPr>
        <w:t>.</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г.Набережные Челны на площадке http://sale.zakazrf.ru/.</w:t>
      </w:r>
    </w:p>
    <w:p w:rsidR="000A4A0A" w:rsidRPr="00B66B85" w:rsidRDefault="000A4A0A" w:rsidP="000A4A0A">
      <w:pPr>
        <w:jc w:val="both"/>
        <w:rPr>
          <w:sz w:val="22"/>
          <w:szCs w:val="22"/>
          <w:highlight w:val="yellow"/>
        </w:rPr>
      </w:pPr>
      <w:r w:rsidRPr="00B66B85">
        <w:rPr>
          <w:b/>
          <w:sz w:val="22"/>
          <w:szCs w:val="22"/>
          <w:highlight w:val="yellow"/>
        </w:rPr>
        <w:t xml:space="preserve">Дата и время окончания срока подачи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4B63ED" w:rsidP="000A4A0A">
      <w:pPr>
        <w:jc w:val="both"/>
        <w:rPr>
          <w:b/>
          <w:bCs/>
          <w:sz w:val="22"/>
          <w:szCs w:val="22"/>
          <w:highlight w:val="yellow"/>
        </w:rPr>
      </w:pPr>
      <w:r>
        <w:rPr>
          <w:sz w:val="22"/>
          <w:szCs w:val="22"/>
          <w:highlight w:val="yellow"/>
        </w:rPr>
        <w:t>«</w:t>
      </w:r>
      <w:r w:rsidR="002635ED">
        <w:rPr>
          <w:sz w:val="22"/>
          <w:szCs w:val="22"/>
          <w:highlight w:val="yellow"/>
        </w:rPr>
        <w:t>12</w:t>
      </w:r>
      <w:r w:rsidR="000A4A0A" w:rsidRPr="00B66B85">
        <w:rPr>
          <w:sz w:val="22"/>
          <w:szCs w:val="22"/>
          <w:highlight w:val="yellow"/>
        </w:rPr>
        <w:t xml:space="preserve">» </w:t>
      </w:r>
      <w:r w:rsidR="00D70709">
        <w:rPr>
          <w:sz w:val="22"/>
          <w:szCs w:val="22"/>
          <w:highlight w:val="yellow"/>
        </w:rPr>
        <w:t>декабря</w:t>
      </w:r>
      <w:r w:rsidR="00333618" w:rsidRPr="00B66B85">
        <w:rPr>
          <w:sz w:val="22"/>
          <w:szCs w:val="22"/>
          <w:highlight w:val="yellow"/>
        </w:rPr>
        <w:t xml:space="preserve"> </w:t>
      </w:r>
      <w:r w:rsidR="00ED47B4">
        <w:rPr>
          <w:sz w:val="22"/>
          <w:szCs w:val="22"/>
          <w:highlight w:val="yellow"/>
        </w:rPr>
        <w:t>2022</w:t>
      </w:r>
      <w:r w:rsidR="00B66B85" w:rsidRPr="00B66B85">
        <w:rPr>
          <w:sz w:val="22"/>
          <w:szCs w:val="22"/>
          <w:highlight w:val="yellow"/>
        </w:rPr>
        <w:t xml:space="preserve"> </w:t>
      </w:r>
      <w:r w:rsidR="004B5818" w:rsidRPr="00B66B85">
        <w:rPr>
          <w:sz w:val="22"/>
          <w:szCs w:val="22"/>
          <w:highlight w:val="yellow"/>
        </w:rPr>
        <w:t>г. 17</w:t>
      </w:r>
      <w:r w:rsidR="000A4A0A" w:rsidRPr="00B66B85">
        <w:rPr>
          <w:sz w:val="22"/>
          <w:szCs w:val="22"/>
          <w:highlight w:val="yellow"/>
        </w:rPr>
        <w:t>:00</w:t>
      </w:r>
    </w:p>
    <w:p w:rsidR="000A4A0A" w:rsidRPr="00B66B85" w:rsidRDefault="000A4A0A" w:rsidP="000A4A0A">
      <w:pPr>
        <w:jc w:val="both"/>
        <w:rPr>
          <w:sz w:val="22"/>
          <w:szCs w:val="22"/>
          <w:highlight w:val="yellow"/>
        </w:rPr>
      </w:pPr>
      <w:r w:rsidRPr="00B66B85">
        <w:rPr>
          <w:b/>
          <w:bCs/>
          <w:sz w:val="22"/>
          <w:szCs w:val="22"/>
          <w:highlight w:val="yellow"/>
        </w:rPr>
        <w:t>Дата окончания срока</w:t>
      </w:r>
      <w:r w:rsidRPr="00B66B85">
        <w:rPr>
          <w:b/>
          <w:sz w:val="22"/>
          <w:szCs w:val="22"/>
          <w:highlight w:val="yellow"/>
        </w:rPr>
        <w:t xml:space="preserve"> рассмотрения первых частей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4B63ED" w:rsidP="000A4A0A">
      <w:pPr>
        <w:tabs>
          <w:tab w:val="left" w:pos="1575"/>
        </w:tabs>
        <w:rPr>
          <w:sz w:val="22"/>
          <w:szCs w:val="22"/>
          <w:highlight w:val="yellow"/>
        </w:rPr>
      </w:pPr>
      <w:r>
        <w:rPr>
          <w:sz w:val="22"/>
          <w:szCs w:val="22"/>
          <w:highlight w:val="yellow"/>
        </w:rPr>
        <w:t>«</w:t>
      </w:r>
      <w:r w:rsidR="002635ED">
        <w:rPr>
          <w:sz w:val="22"/>
          <w:szCs w:val="22"/>
          <w:highlight w:val="yellow"/>
        </w:rPr>
        <w:t>13</w:t>
      </w:r>
      <w:r w:rsidR="000A4A0A" w:rsidRPr="00B66B85">
        <w:rPr>
          <w:sz w:val="22"/>
          <w:szCs w:val="22"/>
          <w:highlight w:val="yellow"/>
        </w:rPr>
        <w:t xml:space="preserve">» </w:t>
      </w:r>
      <w:r w:rsidR="00D70709">
        <w:rPr>
          <w:sz w:val="22"/>
          <w:szCs w:val="22"/>
          <w:highlight w:val="yellow"/>
        </w:rPr>
        <w:t>дека</w:t>
      </w:r>
      <w:r w:rsidR="002635ED" w:rsidRPr="002635ED">
        <w:rPr>
          <w:sz w:val="22"/>
          <w:szCs w:val="22"/>
          <w:highlight w:val="yellow"/>
        </w:rPr>
        <w:t xml:space="preserve">бря </w:t>
      </w:r>
      <w:r w:rsidR="00ED47B4">
        <w:rPr>
          <w:sz w:val="22"/>
          <w:szCs w:val="22"/>
          <w:highlight w:val="yellow"/>
        </w:rPr>
        <w:t>2022</w:t>
      </w:r>
      <w:r w:rsidR="00B66B85" w:rsidRPr="00B66B85">
        <w:rPr>
          <w:sz w:val="22"/>
          <w:szCs w:val="22"/>
          <w:highlight w:val="yellow"/>
        </w:rPr>
        <w:t xml:space="preserve"> </w:t>
      </w:r>
      <w:r w:rsidR="000A4A0A" w:rsidRPr="00B66B85">
        <w:rPr>
          <w:sz w:val="22"/>
          <w:szCs w:val="22"/>
          <w:highlight w:val="yellow"/>
        </w:rPr>
        <w:t>г.</w:t>
      </w:r>
    </w:p>
    <w:p w:rsidR="000A4A0A" w:rsidRPr="000A4A0A" w:rsidRDefault="000A4A0A" w:rsidP="000A4A0A">
      <w:pPr>
        <w:jc w:val="both"/>
        <w:rPr>
          <w:sz w:val="22"/>
          <w:szCs w:val="22"/>
        </w:rPr>
      </w:pPr>
      <w:r w:rsidRPr="00B66B85">
        <w:rPr>
          <w:b/>
          <w:sz w:val="22"/>
          <w:szCs w:val="22"/>
          <w:highlight w:val="yellow"/>
        </w:rPr>
        <w:t xml:space="preserve">Дата проведения </w:t>
      </w:r>
      <w:r w:rsidR="002748C1" w:rsidRPr="00B66B85">
        <w:rPr>
          <w:b/>
          <w:sz w:val="22"/>
          <w:szCs w:val="22"/>
          <w:highlight w:val="yellow"/>
        </w:rPr>
        <w:t>продажи</w:t>
      </w:r>
      <w:r w:rsidR="00F4635E" w:rsidRPr="00B66B85">
        <w:rPr>
          <w:b/>
          <w:sz w:val="22"/>
          <w:szCs w:val="22"/>
          <w:highlight w:val="yellow"/>
        </w:rPr>
        <w:t xml:space="preserve"> посредством публичного предложения в электронной форме</w:t>
      </w:r>
      <w:r w:rsidR="004B63ED">
        <w:rPr>
          <w:sz w:val="22"/>
          <w:szCs w:val="22"/>
          <w:highlight w:val="yellow"/>
        </w:rPr>
        <w:t>: «</w:t>
      </w:r>
      <w:r w:rsidR="002635ED">
        <w:rPr>
          <w:sz w:val="22"/>
          <w:szCs w:val="22"/>
          <w:highlight w:val="yellow"/>
        </w:rPr>
        <w:t>14</w:t>
      </w:r>
      <w:r w:rsidRPr="00B66B85">
        <w:rPr>
          <w:sz w:val="22"/>
          <w:szCs w:val="22"/>
          <w:highlight w:val="yellow"/>
        </w:rPr>
        <w:t xml:space="preserve">» </w:t>
      </w:r>
      <w:r w:rsidR="00D70709">
        <w:rPr>
          <w:sz w:val="22"/>
          <w:szCs w:val="22"/>
          <w:highlight w:val="yellow"/>
        </w:rPr>
        <w:t>дека</w:t>
      </w:r>
      <w:r w:rsidR="002635ED" w:rsidRPr="002635ED">
        <w:rPr>
          <w:sz w:val="22"/>
          <w:szCs w:val="22"/>
          <w:highlight w:val="yellow"/>
        </w:rPr>
        <w:t xml:space="preserve">бря </w:t>
      </w:r>
      <w:r w:rsidR="00ED47B4">
        <w:rPr>
          <w:sz w:val="22"/>
          <w:szCs w:val="22"/>
          <w:highlight w:val="yellow"/>
        </w:rPr>
        <w:t>2022</w:t>
      </w:r>
      <w:r w:rsidR="00B66B85" w:rsidRPr="00B66B85">
        <w:rPr>
          <w:sz w:val="22"/>
          <w:szCs w:val="22"/>
          <w:highlight w:val="yellow"/>
        </w:rPr>
        <w:t xml:space="preserve"> </w:t>
      </w:r>
      <w:r w:rsidRPr="00B66B85">
        <w:rPr>
          <w:sz w:val="22"/>
          <w:szCs w:val="22"/>
          <w:highlight w:val="yellow"/>
        </w:rPr>
        <w:t>г.</w:t>
      </w:r>
      <w:r w:rsidR="00564A30" w:rsidRPr="00B66B85">
        <w:rPr>
          <w:sz w:val="22"/>
          <w:szCs w:val="22"/>
          <w:highlight w:val="yellow"/>
        </w:rPr>
        <w:t xml:space="preserve">, в </w:t>
      </w:r>
      <w:r w:rsidR="00D70709">
        <w:rPr>
          <w:sz w:val="22"/>
          <w:szCs w:val="22"/>
          <w:highlight w:val="yellow"/>
        </w:rPr>
        <w:t>10</w:t>
      </w:r>
      <w:r w:rsidR="004A7070" w:rsidRPr="00B66B85">
        <w:rPr>
          <w:sz w:val="22"/>
          <w:szCs w:val="22"/>
          <w:highlight w:val="yellow"/>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6" w:history="1">
        <w:r w:rsidR="005F6E85" w:rsidRPr="007B6ED7">
          <w:rPr>
            <w:rStyle w:val="af7"/>
            <w:b/>
            <w:sz w:val="22"/>
            <w:szCs w:val="22"/>
          </w:rPr>
          <w:t>http://nabchelny.ru</w:t>
        </w:r>
      </w:hyperlink>
      <w:r w:rsidR="00ED47B4">
        <w:rPr>
          <w:sz w:val="22"/>
          <w:szCs w:val="22"/>
        </w:rPr>
        <w:t>.</w:t>
      </w:r>
      <w:r w:rsidRPr="00933A5F">
        <w:rPr>
          <w:sz w:val="22"/>
          <w:szCs w:val="22"/>
        </w:rPr>
        <w:t xml:space="preserve">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45633E" w:rsidRDefault="0045633E" w:rsidP="000A5D45">
      <w:pPr>
        <w:jc w:val="both"/>
        <w:rPr>
          <w:sz w:val="22"/>
          <w:szCs w:val="22"/>
        </w:rPr>
      </w:pPr>
    </w:p>
    <w:p w:rsidR="00B66B85" w:rsidRDefault="00B66B8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BE7F85" w:rsidRDefault="00BE7F85" w:rsidP="000A5D45">
      <w:pPr>
        <w:jc w:val="both"/>
        <w:rPr>
          <w:sz w:val="22"/>
          <w:szCs w:val="22"/>
        </w:rPr>
      </w:pPr>
    </w:p>
    <w:p w:rsidR="000A5D45" w:rsidRPr="000A5D45" w:rsidRDefault="000A5D45" w:rsidP="000A5D45">
      <w:pPr>
        <w:jc w:val="center"/>
        <w:rPr>
          <w:sz w:val="22"/>
          <w:szCs w:val="22"/>
        </w:rPr>
      </w:pPr>
      <w:r w:rsidRPr="000A5D45">
        <w:rPr>
          <w:sz w:val="22"/>
          <w:szCs w:val="22"/>
        </w:rPr>
        <w:lastRenderedPageBreak/>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lastRenderedPageBreak/>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субсчет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обеспечения заявки - в размере 2</w:t>
      </w:r>
      <w:r w:rsidRPr="00760961">
        <w:rPr>
          <w:sz w:val="22"/>
          <w:szCs w:val="22"/>
        </w:rPr>
        <w:t xml:space="preserve">0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на </w:t>
      </w:r>
      <w:r w:rsidR="00F4635E">
        <w:rPr>
          <w:sz w:val="22"/>
          <w:szCs w:val="22"/>
        </w:rPr>
        <w:t>продажа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E055B" w:rsidRDefault="000A5D45" w:rsidP="000A5D45">
      <w:pPr>
        <w:jc w:val="both"/>
        <w:rPr>
          <w:b/>
          <w:sz w:val="22"/>
          <w:szCs w:val="22"/>
        </w:rPr>
      </w:pPr>
      <w:r w:rsidRPr="000E055B">
        <w:rPr>
          <w:b/>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A3FEB" w:rsidRDefault="000A5D45" w:rsidP="00F4635E">
      <w:pPr>
        <w:tabs>
          <w:tab w:val="left" w:pos="709"/>
        </w:tabs>
        <w:suppressAutoHyphens/>
        <w:spacing w:line="100" w:lineRule="atLeast"/>
        <w:ind w:left="-142"/>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p>
    <w:p w:rsidR="00FA3FEB" w:rsidRPr="000A4A0A" w:rsidRDefault="00FA3FEB" w:rsidP="00FA3FEB">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Контактно</w:t>
      </w:r>
      <w:r>
        <w:rPr>
          <w:color w:val="00000A"/>
          <w:sz w:val="22"/>
          <w:szCs w:val="22"/>
          <w:lang w:eastAsia="ar-SA"/>
        </w:rPr>
        <w:t xml:space="preserve">е лицо: </w:t>
      </w:r>
      <w:proofErr w:type="spellStart"/>
      <w:r>
        <w:rPr>
          <w:color w:val="00000A"/>
          <w:sz w:val="22"/>
          <w:szCs w:val="22"/>
          <w:lang w:eastAsia="ar-SA"/>
        </w:rPr>
        <w:t>Гиматдинова</w:t>
      </w:r>
      <w:proofErr w:type="spellEnd"/>
      <w:r>
        <w:rPr>
          <w:color w:val="00000A"/>
          <w:sz w:val="22"/>
          <w:szCs w:val="22"/>
          <w:lang w:eastAsia="ar-SA"/>
        </w:rPr>
        <w:t xml:space="preserve"> </w:t>
      </w:r>
      <w:proofErr w:type="spellStart"/>
      <w:r>
        <w:rPr>
          <w:color w:val="00000A"/>
          <w:sz w:val="22"/>
          <w:szCs w:val="22"/>
          <w:lang w:eastAsia="ar-SA"/>
        </w:rPr>
        <w:t>Файруза</w:t>
      </w:r>
      <w:proofErr w:type="spellEnd"/>
      <w:r>
        <w:rPr>
          <w:color w:val="00000A"/>
          <w:sz w:val="22"/>
          <w:szCs w:val="22"/>
          <w:lang w:eastAsia="ar-SA"/>
        </w:rPr>
        <w:t xml:space="preserve"> </w:t>
      </w:r>
      <w:proofErr w:type="spellStart"/>
      <w:r>
        <w:rPr>
          <w:color w:val="00000A"/>
          <w:sz w:val="22"/>
          <w:szCs w:val="22"/>
          <w:lang w:eastAsia="ar-SA"/>
        </w:rPr>
        <w:t>Наиловна</w:t>
      </w:r>
      <w:proofErr w:type="spellEnd"/>
      <w:r>
        <w:rPr>
          <w:color w:val="00000A"/>
          <w:sz w:val="22"/>
          <w:szCs w:val="22"/>
          <w:lang w:eastAsia="ar-SA"/>
        </w:rPr>
        <w:t>.</w:t>
      </w:r>
    </w:p>
    <w:p w:rsidR="007B0C7F" w:rsidRDefault="00F4635E" w:rsidP="00F4635E">
      <w:pPr>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субсчета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Default="000A5D4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на </w:t>
      </w:r>
      <w:r w:rsidR="00F4635E">
        <w:rPr>
          <w:sz w:val="22"/>
          <w:szCs w:val="22"/>
        </w:rPr>
        <w:t>продажа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w:t>
      </w:r>
      <w:r w:rsidR="00FA3FEB" w:rsidRPr="0020069C">
        <w:rPr>
          <w:b/>
          <w:color w:val="000000" w:themeColor="text1"/>
          <w:sz w:val="22"/>
          <w:szCs w:val="22"/>
        </w:rPr>
        <w:t>ГОРКОММУНХОЗ</w:t>
      </w:r>
      <w:r w:rsidR="002B3C8D" w:rsidRPr="002B3C8D">
        <w:rPr>
          <w:b/>
          <w:sz w:val="22"/>
          <w:szCs w:val="22"/>
        </w:rPr>
        <w:t>»</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r w:rsidRPr="000A5D45">
        <w:rPr>
          <w:sz w:val="22"/>
          <w:szCs w:val="22"/>
        </w:rPr>
        <w:t>Корр</w:t>
      </w:r>
      <w:proofErr w:type="spellEnd"/>
      <w:r w:rsidRPr="000A5D45">
        <w:rPr>
          <w:sz w:val="22"/>
          <w:szCs w:val="22"/>
        </w:rPr>
        <w:t>/</w:t>
      </w:r>
      <w:proofErr w:type="gramStart"/>
      <w:r w:rsidRPr="000A5D45">
        <w:rPr>
          <w:sz w:val="22"/>
          <w:szCs w:val="22"/>
        </w:rPr>
        <w:t>счет  №</w:t>
      </w:r>
      <w:proofErr w:type="gramEnd"/>
      <w:r w:rsidRPr="000A5D45">
        <w:rPr>
          <w:sz w:val="22"/>
          <w:szCs w:val="22"/>
        </w:rPr>
        <w:t xml:space="preserve">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r w:rsidR="00D64131">
        <w:rPr>
          <w:sz w:val="22"/>
          <w:szCs w:val="22"/>
        </w:rPr>
        <w:t>гос.номер</w:t>
      </w:r>
      <w:proofErr w:type="spell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r w:rsidRPr="000A5D45">
        <w:rPr>
          <w:sz w:val="22"/>
          <w:szCs w:val="22"/>
        </w:rPr>
        <w:t>м.п.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Д О Г О В О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sidRPr="00A7440A">
        <w:rPr>
          <w:sz w:val="22"/>
          <w:szCs w:val="22"/>
        </w:rPr>
        <w:t>»</w:t>
      </w:r>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Паспорт:  ИНН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ED47B4">
      <w:pgSz w:w="16838" w:h="11906" w:orient="landscape"/>
      <w:pgMar w:top="425" w:right="678"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40AE"/>
    <w:multiLevelType w:val="singleLevel"/>
    <w:tmpl w:val="0419000F"/>
    <w:lvl w:ilvl="0">
      <w:start w:val="1"/>
      <w:numFmt w:val="decimal"/>
      <w:lvlText w:val="%1."/>
      <w:lvlJc w:val="left"/>
      <w:pPr>
        <w:tabs>
          <w:tab w:val="num" w:pos="360"/>
        </w:tabs>
        <w:ind w:left="360" w:hanging="360"/>
      </w:pPr>
    </w:lvl>
  </w:abstractNum>
  <w:abstractNum w:abstractNumId="1">
    <w:nsid w:val="03601E26"/>
    <w:multiLevelType w:val="singleLevel"/>
    <w:tmpl w:val="8C169600"/>
    <w:lvl w:ilvl="0">
      <w:start w:val="1"/>
      <w:numFmt w:val="decimal"/>
      <w:lvlText w:val="%1."/>
      <w:lvlJc w:val="left"/>
      <w:pPr>
        <w:tabs>
          <w:tab w:val="num" w:pos="875"/>
        </w:tabs>
        <w:ind w:left="875" w:hanging="390"/>
      </w:pPr>
    </w:lvl>
  </w:abstractNum>
  <w:abstractNum w:abstractNumId="2">
    <w:nsid w:val="0E481DF4"/>
    <w:multiLevelType w:val="singleLevel"/>
    <w:tmpl w:val="8C169600"/>
    <w:lvl w:ilvl="0">
      <w:start w:val="1"/>
      <w:numFmt w:val="decimal"/>
      <w:lvlText w:val="%1."/>
      <w:lvlJc w:val="left"/>
      <w:pPr>
        <w:tabs>
          <w:tab w:val="num" w:pos="875"/>
        </w:tabs>
        <w:ind w:left="875" w:hanging="390"/>
      </w:pPr>
    </w:lvl>
  </w:abstractNum>
  <w:abstractNum w:abstractNumId="3">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nsid w:val="1A8104E8"/>
    <w:multiLevelType w:val="singleLevel"/>
    <w:tmpl w:val="0419000F"/>
    <w:lvl w:ilvl="0">
      <w:start w:val="1"/>
      <w:numFmt w:val="decimal"/>
      <w:lvlText w:val="%1."/>
      <w:lvlJc w:val="left"/>
      <w:pPr>
        <w:tabs>
          <w:tab w:val="num" w:pos="360"/>
        </w:tabs>
        <w:ind w:left="360" w:hanging="360"/>
      </w:pPr>
    </w:lvl>
  </w:abstractNum>
  <w:abstractNum w:abstractNumId="8">
    <w:nsid w:val="1E0F6A3D"/>
    <w:multiLevelType w:val="singleLevel"/>
    <w:tmpl w:val="8D706734"/>
    <w:lvl w:ilvl="0">
      <w:numFmt w:val="bullet"/>
      <w:lvlText w:val="-"/>
      <w:lvlJc w:val="left"/>
      <w:pPr>
        <w:tabs>
          <w:tab w:val="num" w:pos="1069"/>
        </w:tabs>
        <w:ind w:left="1069" w:hanging="360"/>
      </w:pPr>
    </w:lvl>
  </w:abstractNum>
  <w:abstractNum w:abstractNumId="9">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18E094C"/>
    <w:multiLevelType w:val="singleLevel"/>
    <w:tmpl w:val="0419000F"/>
    <w:lvl w:ilvl="0">
      <w:start w:val="1"/>
      <w:numFmt w:val="decimal"/>
      <w:lvlText w:val="%1."/>
      <w:lvlJc w:val="left"/>
      <w:pPr>
        <w:tabs>
          <w:tab w:val="num" w:pos="360"/>
        </w:tabs>
        <w:ind w:left="360" w:hanging="360"/>
      </w:pPr>
    </w:lvl>
  </w:abstractNum>
  <w:abstractNum w:abstractNumId="12">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C0947F7"/>
    <w:multiLevelType w:val="singleLevel"/>
    <w:tmpl w:val="F2B4A1AA"/>
    <w:lvl w:ilvl="0">
      <w:start w:val="3"/>
      <w:numFmt w:val="bullet"/>
      <w:lvlText w:val="-"/>
      <w:lvlJc w:val="left"/>
      <w:pPr>
        <w:tabs>
          <w:tab w:val="num" w:pos="1069"/>
        </w:tabs>
        <w:ind w:left="1069" w:hanging="360"/>
      </w:pPr>
    </w:lvl>
  </w:abstractNum>
  <w:abstractNum w:abstractNumId="22">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8D1AE0"/>
    <w:multiLevelType w:val="singleLevel"/>
    <w:tmpl w:val="8D706734"/>
    <w:lvl w:ilvl="0">
      <w:numFmt w:val="bullet"/>
      <w:lvlText w:val="-"/>
      <w:lvlJc w:val="left"/>
      <w:pPr>
        <w:tabs>
          <w:tab w:val="num" w:pos="1069"/>
        </w:tabs>
        <w:ind w:left="1069" w:hanging="360"/>
      </w:pPr>
    </w:lvl>
  </w:abstractNum>
  <w:abstractNum w:abstractNumId="3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9"/>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6F35"/>
    <w:rsid w:val="000670B9"/>
    <w:rsid w:val="000670E8"/>
    <w:rsid w:val="000674B4"/>
    <w:rsid w:val="00067825"/>
    <w:rsid w:val="000705A0"/>
    <w:rsid w:val="00070A11"/>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55B"/>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A7"/>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35ED"/>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67479"/>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0793"/>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9C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3ED"/>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4AD3"/>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1DC9"/>
    <w:rsid w:val="0056218F"/>
    <w:rsid w:val="00563DE3"/>
    <w:rsid w:val="00564A30"/>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BE9"/>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77EC4"/>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39C"/>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3F70"/>
    <w:rsid w:val="00A442EF"/>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709"/>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7B4"/>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3FEB"/>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08729-B03C-41EF-A49B-FF85DE67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551E-DF10-4716-9E36-98BCDC48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6018</Words>
  <Characters>34308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OEM</cp:lastModifiedBy>
  <cp:revision>2</cp:revision>
  <cp:lastPrinted>2021-09-17T13:20:00Z</cp:lastPrinted>
  <dcterms:created xsi:type="dcterms:W3CDTF">2022-11-09T13:44:00Z</dcterms:created>
  <dcterms:modified xsi:type="dcterms:W3CDTF">2022-11-09T13:44:00Z</dcterms:modified>
</cp:coreProperties>
</file>