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BB" w:rsidRPr="001246DB" w:rsidRDefault="00416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246DB">
        <w:rPr>
          <w:rFonts w:ascii="Times New Roman" w:hAnsi="Times New Roman"/>
          <w:b/>
          <w:sz w:val="24"/>
          <w:szCs w:val="24"/>
        </w:rPr>
        <w:t>Форма предоставления информации об исполнении регионального проекта</w:t>
      </w:r>
    </w:p>
    <w:p w:rsidR="00EB64BB" w:rsidRPr="001246DB" w:rsidRDefault="00416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6DB">
        <w:rPr>
          <w:rFonts w:ascii="Times New Roman" w:hAnsi="Times New Roman"/>
          <w:b/>
          <w:sz w:val="24"/>
          <w:szCs w:val="24"/>
        </w:rPr>
        <w:t>«Формирование отрицательного отношения к коррупции»</w:t>
      </w:r>
    </w:p>
    <w:p w:rsidR="00EB64BB" w:rsidRPr="001246DB" w:rsidRDefault="00EB64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1246DB" w:rsidTr="0051082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№</w:t>
            </w:r>
            <w:r w:rsidRPr="001246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№</w:t>
            </w:r>
            <w:r w:rsidRPr="001246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EB64BB" w:rsidRPr="001246DB" w:rsidTr="0051082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4BB" w:rsidRPr="001246DB" w:rsidRDefault="00EB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6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0"/>
      </w:tblGrid>
      <w:tr w:rsidR="00EB64BB" w:rsidRPr="001246DB" w:rsidTr="0051082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64BB" w:rsidRPr="001246DB" w:rsidTr="0051082B">
        <w:trPr>
          <w:trHeight w:val="343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6DB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EB64BB" w:rsidRPr="001246DB" w:rsidRDefault="00EB64B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4BB" w:rsidRPr="001246DB" w:rsidTr="0051082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1.3. Проведение отраслевых исследований коррупционных факторов и реализуемых антикоррупционных мер среди целевых групп и опубликованы результаты указанных исследований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В муниципальном образовании город Набережные Челны проводится еженедельный анализ поступивших обращений граждан и организаций</w:t>
            </w:r>
            <w:r w:rsidR="00D6639A">
              <w:rPr>
                <w:rFonts w:ascii="Times New Roman" w:hAnsi="Times New Roman"/>
                <w:sz w:val="24"/>
                <w:szCs w:val="24"/>
              </w:rPr>
              <w:t>,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анализ сроков, качества и полноты их исполнения. Итоги подводятся еженедельно на аппаратном совещании с участием Мэра города или Руководителя Исполнительного комитета.</w:t>
            </w:r>
          </w:p>
          <w:p w:rsidR="00EB64BB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На официальном сайте города проводится опрос общественного мнения о состоянии коррупции.</w:t>
            </w:r>
          </w:p>
        </w:tc>
      </w:tr>
      <w:tr w:rsidR="00EB64BB" w:rsidRPr="001246DB" w:rsidTr="0051082B">
        <w:trPr>
          <w:trHeight w:val="470"/>
        </w:trPr>
        <w:tc>
          <w:tcPr>
            <w:tcW w:w="15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Задача 2. 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  <w:p w:rsidR="00EB64BB" w:rsidRPr="001246DB" w:rsidRDefault="00EB64BB">
            <w:pPr>
              <w:widowControl w:val="0"/>
              <w:spacing w:after="0" w:line="12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64BB" w:rsidRPr="001246DB" w:rsidTr="0051082B">
        <w:trPr>
          <w:trHeight w:val="80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2.2. Размещение проектов разработанных нормативных правовых актов на официальном сайте, созданном для размещения информации о подготовке органами государственной власти Республики Татарстан проектов нормативных правовых актов и результатах их общественного обсуждения </w:t>
            </w:r>
            <w:hyperlink r:id="rId7" w:tgtFrame="_blank">
              <w:r w:rsidRPr="001246D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http://tatarstan.ru/regulation</w:t>
              </w:r>
            </w:hyperlink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Министерство юстиции Республики Татарстан, 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Все проекты муниципальных нормативных правовых актов размещаются на официальном сайте города с опубликованием следующих данных: дата начала экспертизы, дата окончания экспертизы, контактные данные разработчика (ФИО ответственного лица, телефоны, адреса электронной почты).</w:t>
            </w:r>
          </w:p>
        </w:tc>
      </w:tr>
    </w:tbl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EB64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B64BB" w:rsidRPr="001246DB" w:rsidRDefault="00416E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46DB">
        <w:rPr>
          <w:rFonts w:ascii="Times New Roman" w:hAnsi="Times New Roman"/>
          <w:b/>
          <w:sz w:val="24"/>
          <w:szCs w:val="24"/>
        </w:rPr>
        <w:t xml:space="preserve">Форма предоставления информации об исполнении комплекса процессных мероприятий </w:t>
      </w:r>
    </w:p>
    <w:p w:rsidR="00EB64BB" w:rsidRPr="001246DB" w:rsidRDefault="00416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46DB">
        <w:rPr>
          <w:rFonts w:ascii="Times New Roman" w:hAnsi="Times New Roman"/>
          <w:b/>
          <w:sz w:val="24"/>
          <w:szCs w:val="24"/>
        </w:rPr>
        <w:t>«Совершенствование антикоррупционной политики Республики Татарстан»</w:t>
      </w:r>
    </w:p>
    <w:p w:rsidR="00EB64BB" w:rsidRPr="001246DB" w:rsidRDefault="00EB64B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64BB" w:rsidRPr="001246DB" w:rsidRDefault="00EB64B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1246DB" w:rsidTr="0051082B"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№</w:t>
            </w:r>
            <w:r w:rsidRPr="001246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№</w:t>
            </w:r>
            <w:r w:rsidRPr="001246D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85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 w:rsidR="00EB64BB" w:rsidRPr="001246DB" w:rsidTr="0051082B"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B64BB" w:rsidRPr="001246DB" w:rsidRDefault="00EB64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3743"/>
        <w:gridCol w:w="2976"/>
        <w:gridCol w:w="8582"/>
      </w:tblGrid>
      <w:tr w:rsidR="00EB64BB" w:rsidRPr="001246DB" w:rsidTr="0051082B"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B64BB" w:rsidRPr="001246DB" w:rsidTr="002B76C8"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EB64BB"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246DB">
              <w:rPr>
                <w:rFonts w:ascii="Times New Roman" w:hAnsi="Times New Roman"/>
                <w:bCs/>
                <w:sz w:val="24"/>
                <w:szCs w:val="24"/>
              </w:rPr>
              <w:t xml:space="preserve">Задача 1.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>Оценка состояния коррупции в Республике Татарстан</w:t>
            </w:r>
          </w:p>
          <w:p w:rsidR="00EB64BB" w:rsidRPr="001246DB" w:rsidRDefault="00EB64BB"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B64BB" w:rsidRPr="001246DB" w:rsidTr="0051082B"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В отчетном периоде приняты следующие правовые акты: 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Постановление Исполнительного комитета от 01.04.2024 № 2073 «О внесении изменений в постановление Исполнительного комитета от 18.11.2014 № 7047 «Об утверждении муниципальной программы «Реализация антикоррупционной политики муниципального образования город Набережные Челны на 2015-2025 годы». В соответствии с законодательными и нормативными актами с начала 2024 года разработаны следующие муниципальные правовые акты:</w:t>
            </w:r>
          </w:p>
          <w:p w:rsidR="00EB64BB" w:rsidRPr="001246DB" w:rsidRDefault="00F875F1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B76C8" w:rsidRPr="001246DB">
              <w:rPr>
                <w:rFonts w:ascii="Times New Roman" w:hAnsi="Times New Roman"/>
                <w:sz w:val="24"/>
                <w:szCs w:val="24"/>
              </w:rPr>
              <w:t>остановление Мэра города от 20.02.2024 № М 72 «О внесении изменений в перечень должностей муниципальной службы в муниципальном 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 сведения о доходах, расходах, об имуществе и обязательствах имущественного характера своих супруги (супруга) и несовершеннолетних детей, утверждённый постановлением Мэра города от 21.11.2014 № М 692»</w:t>
            </w:r>
          </w:p>
        </w:tc>
      </w:tr>
      <w:tr w:rsidR="00EB64BB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1.2. Обеспечение действенного функционирования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8" w:anchor="/document/196300/entry/0" w:history="1">
              <w:r w:rsidRPr="001246D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1246DB">
              <w:rPr>
                <w:rFonts w:ascii="Times New Roman" w:hAnsi="Times New Roman"/>
                <w:sz w:val="24"/>
                <w:szCs w:val="24"/>
              </w:rPr>
              <w:t> Президента Российской Федерации № 1065 и </w:t>
            </w:r>
            <w:hyperlink r:id="rId9" w:anchor="/document/8166002/entry/0" w:history="1">
              <w:r w:rsidRPr="001246D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Указом</w:t>
              </w:r>
            </w:hyperlink>
            <w:r w:rsidRPr="001246DB">
              <w:rPr>
                <w:rFonts w:ascii="Times New Roman" w:hAnsi="Times New Roman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Распоряжением Исполнительного комитета от 14.06.2023 № 1524-р «Об определении должностных лиц, ответственных за профилактику коррупционных и иных правонарушений в Исполнительном комитете муниципального образования город Набережные Челны» определены должностные лица, ответственные за профилактику коррупционных и иных правонарушений с выполнением функций законодательства о противодействии коррупции.</w:t>
            </w:r>
          </w:p>
        </w:tc>
      </w:tr>
      <w:tr w:rsidR="00EB64BB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уточнения в перечень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Для определения должностей муниципальной службы, замещение которых связано с повышенным коррупционным риском в органах местного самоуправления издано Постановление Мэра города от 21.11.2014 № М 692 (с изм. от 24.02.2015 № 58, от 01.02.2016 № М 34, от 29.06.2018 № М 293, от 14.05.2021 № М 186, от 14.03.2022 № М 94, от 17.06.2022 № М 254, от 02.11.2022 № М 484, от 24.03.2023 № М 113, от 03.10.2023 № М 454, от 20.12.2023 № М 604, от 20.02.2024 № М 72) «Об утверждении положения о представлении гражданами, претендующими на замещение должностей муниципальной службы в муниципальном образовании город Набережные Челны,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город Набережные Челны сведений о доходах, расходах, об имуществе и обязательствах имущественного характера», которым утвержден перечень должностей муниципальной службы в муниципальном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образовании город Набережные Челны,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город Набережные Челны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  </w:t>
            </w:r>
          </w:p>
          <w:p w:rsidR="00EB64BB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Перечень должностей муниципальной службы в Исполнительном комитете муниципального образования город Набережные Челны,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утвержден распоряжением Исполнительного комитета от 19.01.2018 № 39-р (с изм. от 15.02.2018 № 102-р; от 09.07.2020 № 417-р; от 03.02.2021 № 60-р, от 09.08.2022 №619-р, от 20.04.2023 №853-р, от 16.02.2024 №276-р).</w:t>
            </w:r>
          </w:p>
        </w:tc>
      </w:tr>
      <w:tr w:rsidR="00EB64BB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416E6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4BB" w:rsidRPr="001246DB" w:rsidRDefault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1E5F">
              <w:rPr>
                <w:rFonts w:ascii="Times New Roman" w:hAnsi="Times New Roman"/>
                <w:sz w:val="24"/>
                <w:szCs w:val="24"/>
              </w:rPr>
              <w:t>Управлением персоналом и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муниципальной службой Исполнительного комитета на постоянной основе проводится актуализация сведений, содержащихся в анкетах, предоставляемых при поступлении на муниципальную службу и анализ сведений о родственниках на предмет выявления возможного конфликта интересов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1.5. Проведение проверок соблюдения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FB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С начала года через электронную базу Межрегиональной инспекции Федеральной налоговой службы РФ сведений, содержащихся в Едином государственном реестре юридических лиц (ЕГРЮЛ) и Едином государственном реестре индивидуальных предпринимателей (ЕГРИП) на предмет участия в предпринимательской деятельности проверено 14 граждан, претендующих на замещение вакантных должностей муниципальной службы при назначении на должности муниципальной службы и 107 муниципальных служащих. Нарушений законодательства не установлено.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В области профилактики коррупционных и иных правонарушений проведены проверки на наличие судимости 14 граждан, претендующих на замещение должностей муниципальной службы. По сведениям МВД, информация о судимости отсутствует. Нарушений законодательства не установлено.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проводится мониторинг участия муниципальных служащих в управлении коммерческими и некоммерческими организациями. В отчётном периоде данных не выявлено.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1.8. Проведение работы с организациями, подведомственными органам публичной власти в Республике Татарстан, в целях обеспечения соблюдения обязанности принимать меры, предусмотренные положениями </w:t>
            </w:r>
            <w:hyperlink r:id="rId10" w:anchor="/document/12164203/entry/133" w:history="1">
              <w:r w:rsidRPr="001246D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статьи 13.3</w:t>
              </w:r>
            </w:hyperlink>
            <w:r w:rsidRPr="001246DB">
              <w:rPr>
                <w:rFonts w:ascii="Times New Roman" w:hAnsi="Times New Roman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В соответствии с поручением Премьер-министра Республики Татарстан</w:t>
            </w:r>
            <w:r w:rsidR="00AD3FB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Песошина А.В. от 10.06.2018 № 32891-АП изменения, предусматривающие включение положений о предотвращении и урегулировании конфликта интересов, внесены: 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- в уставы 283 подведомственных муниципальных учреждений, 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в 281 трудовых договоров руководителей муниципальных учреждений и 17568 трудовых договоров сотрудников подведомственных учреждений.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pStyle w:val="a0"/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p_399023"/>
            <w:bookmarkEnd w:id="1"/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</w:t>
            </w:r>
          </w:p>
          <w:p w:rsidR="002B76C8" w:rsidRPr="001246DB" w:rsidRDefault="002B76C8" w:rsidP="002B76C8">
            <w:pPr>
              <w:pStyle w:val="a0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bookmarkStart w:id="2" w:name="p_399024"/>
            <w:bookmarkEnd w:id="2"/>
            <w:r w:rsidRPr="001246DB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План работы комиссии по координации работы по противодействию коррупции при Мэре города Набережные Челны на 2024 год утвержден. На отчетную дату проведено 1 заседания комиссии по координации работы по противодействию коррупции при Мэре города Набережные Челны.</w:t>
            </w:r>
          </w:p>
        </w:tc>
      </w:tr>
      <w:tr w:rsidR="002B76C8" w:rsidRPr="001246DB" w:rsidTr="002B76C8">
        <w:trPr>
          <w:trHeight w:val="78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экспертизы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юстиции Республики Татарстан, республиканские органы исполнительной власти, органы местного само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8A36BA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За 1 квартал 2024 года проведена антикоррупционная экспертиза в отношении 67 проектов и 5 нормативных правовых актов Исполнительного комитета. Коррупциогенные факторы не выявлены.</w:t>
            </w:r>
          </w:p>
        </w:tc>
      </w:tr>
      <w:tr w:rsidR="002B76C8" w:rsidRPr="001246DB" w:rsidTr="002B76C8">
        <w:trPr>
          <w:trHeight w:val="708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2B76C8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6C8" w:rsidRPr="001246DB" w:rsidRDefault="002B76C8" w:rsidP="002B76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С целью формирования у муниципальных служащих и работников муниципальных организаций проводится следующая работа:</w:t>
            </w:r>
          </w:p>
          <w:p w:rsidR="002B76C8" w:rsidRPr="001246DB" w:rsidRDefault="002B76C8" w:rsidP="002B76C8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6DB">
              <w:rPr>
                <w:rFonts w:ascii="Times New Roman" w:eastAsia="Calibri" w:hAnsi="Times New Roman"/>
                <w:sz w:val="24"/>
                <w:szCs w:val="24"/>
              </w:rPr>
              <w:t xml:space="preserve">На официальном сайте города www.nabchelny.ru размещены: 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муниципальные правовые акты по вопросам организации муниципальной службы в муниципальном образовании город Набережные Челны, обеспечивающие соблюдение муниципальными служащими запретов и ограничений, установленных законодательством о противодействии коррупции;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сведения о доходах, расходах об имуществе и обязательствах имущественного характера муниципальных служащих и членов их семей;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информация о работе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Челны.</w:t>
            </w:r>
          </w:p>
          <w:p w:rsidR="002B76C8" w:rsidRPr="001246DB" w:rsidRDefault="002B76C8" w:rsidP="002B76C8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6DB">
              <w:rPr>
                <w:rFonts w:ascii="Times New Roman" w:eastAsia="Calibri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к руководителю;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2B76C8" w:rsidRPr="001246DB" w:rsidRDefault="002B76C8" w:rsidP="002B76C8">
            <w:pPr>
              <w:widowControl w:val="0"/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- оперативная информация.</w:t>
            </w:r>
          </w:p>
          <w:p w:rsidR="002B76C8" w:rsidRPr="00502838" w:rsidRDefault="002B76C8" w:rsidP="002B76C8">
            <w:pPr>
              <w:pStyle w:val="aff1"/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246DB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Муниципальным служащим выдаются памятки с основными правами и обязанностями, ограничениями и запретами, связанными с нахождением на муниципальной </w:t>
            </w:r>
            <w:r w:rsidRPr="00502838">
              <w:rPr>
                <w:rFonts w:ascii="Times New Roman" w:eastAsia="Calibri" w:hAnsi="Times New Roman"/>
                <w:sz w:val="24"/>
                <w:szCs w:val="24"/>
              </w:rPr>
              <w:t>службе.</w:t>
            </w:r>
          </w:p>
          <w:p w:rsidR="002B76C8" w:rsidRPr="001246DB" w:rsidRDefault="002B76C8" w:rsidP="0050283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838">
              <w:rPr>
                <w:rFonts w:ascii="Times New Roman" w:hAnsi="Times New Roman"/>
                <w:sz w:val="24"/>
                <w:szCs w:val="24"/>
              </w:rPr>
              <w:t>В марте 202</w:t>
            </w:r>
            <w:r w:rsidR="00502838" w:rsidRPr="00502838">
              <w:rPr>
                <w:rFonts w:ascii="Times New Roman" w:hAnsi="Times New Roman"/>
                <w:sz w:val="24"/>
                <w:szCs w:val="24"/>
              </w:rPr>
              <w:t>4</w:t>
            </w: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года управлением персоналом и муниципальной службой Исполнительного комитета было организовано семинар-совещание для муниципальных служащих и руководителей муниципальных учреждений с участием помощника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Прокурора города по изучению разработанных Министерством труда и социальной защиты Российской Федерации методических рекомендаций по вопросам представления справок о доходах, расходах, об имуществе и обязательствах имущественного характера и заполнения соответствующей формы справки; о типичных ошибках, допускаемых муниципальными служащими.</w:t>
            </w:r>
          </w:p>
        </w:tc>
      </w:tr>
      <w:tr w:rsidR="008A36BA" w:rsidRPr="001246DB" w:rsidTr="0051082B">
        <w:trPr>
          <w:trHeight w:val="2970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3.8. Рассмотрение отчетов о реализации программ противодействия коррупции на заседаниях общественных советов органов публичной власти в Республике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C67FE4" w:rsidP="00C67FE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1 квартале 2024 года ра</w:t>
            </w:r>
            <w:r w:rsidRPr="00C67FE4">
              <w:rPr>
                <w:rFonts w:ascii="Times New Roman" w:hAnsi="Times New Roman"/>
                <w:color w:val="000000"/>
                <w:sz w:val="24"/>
                <w:szCs w:val="24"/>
              </w:rPr>
              <w:t>ссмотрение отчет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реализации программ противодействия коррупции на заседани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обще</w:t>
            </w:r>
            <w:r w:rsidRPr="00C67FE4">
              <w:rPr>
                <w:rFonts w:ascii="Times New Roman" w:hAnsi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C67FE4">
              <w:rPr>
                <w:rFonts w:ascii="Times New Roman" w:hAnsi="Times New Roman"/>
                <w:color w:val="000000"/>
                <w:sz w:val="24"/>
                <w:szCs w:val="24"/>
              </w:rPr>
              <w:t>совет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C67FE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проводилось. Мероприятие будет проведено в течение 2024 года.</w:t>
            </w:r>
          </w:p>
        </w:tc>
      </w:tr>
      <w:tr w:rsidR="008A36BA" w:rsidRPr="001246DB" w:rsidTr="002B76C8">
        <w:trPr>
          <w:trHeight w:val="62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официальном сайте города Набережные Челны в разделе «Полезная информация» размещена Интернет-приемная. 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учреждениях образования, молодежных центрах и спортивных учреждениях города работают «телефоны доверия» (горячей линии); установлены ящики для обращений, ведется работа по выявлению причин и условий возникновения правонарушений.  Определены дни приема по личным вопросам администрациями учреждений. 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официальном сайте города в разделе «Противодействие коррупции» указан «телефон доверия», по которому могут обратиться все желающие. Регламент работы данного «телефона доверия» размещен на официальном сайте города. В отчетном периоде звонков не поступало.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4.3. Проведение мониторинга информации о коррупционных проявлениях в деятельности долж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муниципальном образовании город Набережные Челны проводится ежеквартальный анализ поступающих обращений граждан на предмет наличия информации о фактах коррупции со стороны муниципальных служащих, а также в СМИ. За отчетный период сообщения о проявлениях коррупции на телефон доверия не </w:t>
            </w:r>
            <w:r w:rsidRPr="001246D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поступали и  в социальных сетях не размещались.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4.4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Управлением персоналом и муниципальной службой Исполнительного комитета систематически обновляется стенд «Важно знать», содержащий: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контактные телефоны должностных лиц, ответственных за профилактику коррупционных правонарушений и формы заявлений (уведомлений) для обращения в комиссию или руководителю;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- Положение о комиссии по соблюдению требований к служебному поведению муниципальных служащих и урегулированию конфликта интересов в муниципальном образовании город Набережные Челны и состав указанной комиссии;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 - оперативную информацию.</w:t>
            </w:r>
          </w:p>
        </w:tc>
      </w:tr>
      <w:tr w:rsidR="008A36BA" w:rsidRPr="001246DB" w:rsidTr="002B76C8">
        <w:trPr>
          <w:trHeight w:val="601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 xml:space="preserve"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проведение мероприятий по обеспечению открытости и </w:t>
            </w: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</w:rPr>
              <w:t>В муниципальном образовании город Набережные Челны закупки товаров, работ, услуг для муниципальных нужд осуществляются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8A36BA" w:rsidRPr="001246DB" w:rsidTr="002B76C8">
        <w:trPr>
          <w:trHeight w:val="37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lastRenderedPageBreak/>
              <w:t>Задача 8. Усиление мер по минимизации бытовой коррупции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color w:val="000000"/>
                <w:sz w:val="24"/>
                <w:szCs w:val="24"/>
              </w:rPr>
              <w:t>Мониторинг обращений граждан о проявлениях коррупции в социально-экономических отраслях жизнедеятельности ведется постоянно. В отчетный период обращений граждан носящих коррупционный характер не поступало.</w:t>
            </w:r>
          </w:p>
        </w:tc>
      </w:tr>
      <w:tr w:rsidR="008A36BA" w:rsidRPr="001246DB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осуществляется систематически.</w:t>
            </w:r>
          </w:p>
          <w:p w:rsidR="008A36BA" w:rsidRPr="001246DB" w:rsidRDefault="008A36BA" w:rsidP="008A36B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 3 месяца 2024 года муниципальные служащие к юридической ответственности за несоблюдения запретов, ограничений и требований, установленных в целях противодействия коррупции не привлекались.</w:t>
            </w:r>
          </w:p>
        </w:tc>
      </w:tr>
      <w:tr w:rsidR="008A36BA" w:rsidRPr="008A36BA" w:rsidTr="0051082B">
        <w:trPr>
          <w:trHeight w:val="1062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3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1" w:anchor="/document/12164203/entry/0" w:history="1">
              <w:r w:rsidRPr="001246DB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законодательства</w:t>
              </w:r>
            </w:hyperlink>
            <w:r w:rsidRPr="001246DB">
              <w:rPr>
                <w:rFonts w:ascii="Times New Roman" w:hAnsi="Times New Roman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8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6BA" w:rsidRPr="001246DB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осуществляется систематически.</w:t>
            </w:r>
          </w:p>
          <w:p w:rsidR="008A36BA" w:rsidRPr="008A36BA" w:rsidRDefault="008A36BA" w:rsidP="008A36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6DB">
              <w:rPr>
                <w:rFonts w:ascii="Times New Roman" w:hAnsi="Times New Roman"/>
                <w:sz w:val="24"/>
                <w:szCs w:val="24"/>
              </w:rPr>
              <w:t>За 3 месяца 2024 года муниципальные служащие к ответственности за  несоблюдение требований  законодательства Российской Федерации о противодействии коррупции касающихся предотвращения и урегулирования конфликта интересов не привлекались.</w:t>
            </w:r>
          </w:p>
        </w:tc>
      </w:tr>
    </w:tbl>
    <w:p w:rsidR="00EB64BB" w:rsidRPr="008A36BA" w:rsidRDefault="00EB64B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B64BB" w:rsidRPr="008A36BA"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8E7" w:rsidRDefault="007B48E7">
      <w:pPr>
        <w:spacing w:after="0" w:line="240" w:lineRule="auto"/>
      </w:pPr>
      <w:r>
        <w:separator/>
      </w:r>
    </w:p>
  </w:endnote>
  <w:endnote w:type="continuationSeparator" w:id="0">
    <w:p w:rsidR="007B48E7" w:rsidRDefault="007B4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8E7" w:rsidRDefault="007B48E7">
      <w:pPr>
        <w:spacing w:after="0" w:line="240" w:lineRule="auto"/>
      </w:pPr>
      <w:r>
        <w:separator/>
      </w:r>
    </w:p>
  </w:footnote>
  <w:footnote w:type="continuationSeparator" w:id="0">
    <w:p w:rsidR="007B48E7" w:rsidRDefault="007B4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7441B"/>
    <w:multiLevelType w:val="multilevel"/>
    <w:tmpl w:val="0D1AF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281131"/>
    <w:multiLevelType w:val="multilevel"/>
    <w:tmpl w:val="4A9EDC3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67235D1"/>
    <w:multiLevelType w:val="hybridMultilevel"/>
    <w:tmpl w:val="3140C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BB"/>
    <w:rsid w:val="000A5D01"/>
    <w:rsid w:val="001246DB"/>
    <w:rsid w:val="00161E5F"/>
    <w:rsid w:val="001D07DE"/>
    <w:rsid w:val="002355B4"/>
    <w:rsid w:val="002B76C8"/>
    <w:rsid w:val="00416E68"/>
    <w:rsid w:val="00502838"/>
    <w:rsid w:val="0051082B"/>
    <w:rsid w:val="007B48E7"/>
    <w:rsid w:val="00802008"/>
    <w:rsid w:val="008A36BA"/>
    <w:rsid w:val="009C7CBF"/>
    <w:rsid w:val="00AD3FBB"/>
    <w:rsid w:val="00C67FE4"/>
    <w:rsid w:val="00CE24AB"/>
    <w:rsid w:val="00D6639A"/>
    <w:rsid w:val="00EB64BB"/>
    <w:rsid w:val="00F83CFC"/>
    <w:rsid w:val="00F8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EB35D-0784-4702-A04D-98FF14EE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sz w:val="22"/>
      <w:szCs w:val="22"/>
      <w:lang w:bidi="ar-SA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ConsPlusNormal">
    <w:name w:val="ConsPlusNormal"/>
    <w:qFormat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atarstan.ru/regula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admin</cp:lastModifiedBy>
  <cp:revision>2</cp:revision>
  <cp:lastPrinted>2024-04-04T11:22:00Z</cp:lastPrinted>
  <dcterms:created xsi:type="dcterms:W3CDTF">2024-04-05T07:47:00Z</dcterms:created>
  <dcterms:modified xsi:type="dcterms:W3CDTF">2024-04-05T07:47:00Z</dcterms:modified>
  <dc:language>ru-RU</dc:language>
</cp:coreProperties>
</file>