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F95" w:rsidRDefault="00F50F95" w:rsidP="00F50F95">
      <w:pPr>
        <w:pStyle w:val="Default"/>
        <w:ind w:firstLine="482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Выступление Председателя </w:t>
      </w:r>
    </w:p>
    <w:p w:rsidR="00F50F95" w:rsidRDefault="00F50F95" w:rsidP="00F50F95">
      <w:pPr>
        <w:pStyle w:val="Default"/>
        <w:ind w:firstLine="48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Контрольно-счетной палаты Шливе Т.В.</w:t>
      </w:r>
    </w:p>
    <w:p w:rsidR="00F50F95" w:rsidRDefault="00F50F95" w:rsidP="00F50F95">
      <w:pPr>
        <w:pStyle w:val="Default"/>
        <w:ind w:firstLine="482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по Отчету о работе Контрольно-счетной палаты </w:t>
      </w:r>
    </w:p>
    <w:p w:rsidR="00F50F95" w:rsidRDefault="00F50F95" w:rsidP="00F50F95">
      <w:pPr>
        <w:pStyle w:val="Default"/>
        <w:ind w:firstLine="48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г. Набережные Челны в 2021 году </w:t>
      </w:r>
    </w:p>
    <w:p w:rsidR="00F50F95" w:rsidRDefault="00F50F95" w:rsidP="00F50F95">
      <w:pPr>
        <w:pStyle w:val="Default"/>
        <w:ind w:firstLine="4820"/>
        <w:jc w:val="both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на 13-м заседании Городского Совета </w:t>
      </w:r>
    </w:p>
    <w:p w:rsidR="00F50F95" w:rsidRDefault="00F50F95" w:rsidP="00F50F95">
      <w:pPr>
        <w:pStyle w:val="Default"/>
        <w:ind w:firstLine="4820"/>
        <w:jc w:val="both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города Набережные Челны </w:t>
      </w:r>
      <w:r>
        <w:rPr>
          <w:rFonts w:ascii="Times New Roman" w:hAnsi="Times New Roman" w:cs="Times New Roman"/>
          <w:iCs/>
          <w:sz w:val="20"/>
          <w:szCs w:val="20"/>
          <w:lang w:val="en-US"/>
        </w:rPr>
        <w:t>IV</w:t>
      </w:r>
      <w:r>
        <w:rPr>
          <w:rFonts w:ascii="Times New Roman" w:hAnsi="Times New Roman" w:cs="Times New Roman"/>
          <w:iCs/>
          <w:sz w:val="20"/>
          <w:szCs w:val="20"/>
        </w:rPr>
        <w:t xml:space="preserve"> созыва </w:t>
      </w:r>
    </w:p>
    <w:p w:rsidR="00F50F95" w:rsidRDefault="00F50F95" w:rsidP="00F50F95">
      <w:pPr>
        <w:pStyle w:val="Default"/>
        <w:ind w:firstLine="4820"/>
        <w:jc w:val="both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(25 февраля 2022г.) </w:t>
      </w:r>
    </w:p>
    <w:p w:rsidR="00F50F95" w:rsidRDefault="00F50F95" w:rsidP="00F50F95">
      <w:pPr>
        <w:pStyle w:val="Default"/>
        <w:ind w:firstLine="2410"/>
        <w:rPr>
          <w:rFonts w:ascii="Times New Roman" w:hAnsi="Times New Roman" w:cs="Times New Roman"/>
          <w:sz w:val="28"/>
          <w:szCs w:val="28"/>
        </w:rPr>
      </w:pPr>
    </w:p>
    <w:p w:rsidR="00F50F95" w:rsidRDefault="00F50F95" w:rsidP="00F50F95">
      <w:pPr>
        <w:pStyle w:val="Default"/>
        <w:ind w:firstLine="24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Уважаемый Наиль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Гамбарович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</w:p>
    <w:p w:rsidR="00F50F95" w:rsidRDefault="00F50F95" w:rsidP="00F50F95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Уважаемые депутаты и приглашенные! </w:t>
      </w:r>
    </w:p>
    <w:p w:rsidR="00F50F95" w:rsidRDefault="00F50F95" w:rsidP="00F50F95">
      <w:pPr>
        <w:pStyle w:val="Default"/>
        <w:rPr>
          <w:sz w:val="28"/>
          <w:szCs w:val="28"/>
        </w:rPr>
      </w:pPr>
    </w:p>
    <w:p w:rsidR="00F50F95" w:rsidRDefault="00F50F95" w:rsidP="00F50F95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>Внешний муниципальный финансовый контроль осуществлялся Контрольно-счетной палатой в 2021 году в форме контрольных и экспертно-аналитических мероприятиях в соответствии с утвержденным планом работы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</w:t>
      </w:r>
    </w:p>
    <w:p w:rsidR="00F50F95" w:rsidRDefault="00F50F95" w:rsidP="00F50F95">
      <w:pPr>
        <w:pStyle w:val="Default"/>
        <w:spacing w:line="36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>В 2021 году проведено 62 контрольных и экспертно-аналитических мероприятий, из них</w:t>
      </w:r>
      <w:r>
        <w:rPr>
          <w:rFonts w:ascii="Times New Roman" w:hAnsi="Times New Roman" w:cs="Times New Roman"/>
          <w:sz w:val="32"/>
          <w:szCs w:val="32"/>
        </w:rPr>
        <w:t xml:space="preserve"> 17 - контроль</w:t>
      </w:r>
      <w:r>
        <w:rPr>
          <w:rFonts w:ascii="Times New Roman" w:hAnsi="Times New Roman" w:cs="Times New Roman"/>
          <w:sz w:val="32"/>
          <w:szCs w:val="32"/>
        </w:rPr>
        <w:softHyphen/>
        <w:t>ных мероприятий, проверками охвачено 22 объекта.</w:t>
      </w:r>
    </w:p>
    <w:p w:rsidR="00F50F95" w:rsidRDefault="00F50F95" w:rsidP="00F50F95">
      <w:pPr>
        <w:pStyle w:val="Default"/>
        <w:spacing w:line="360" w:lineRule="auto"/>
        <w:ind w:firstLine="426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auto"/>
          <w:sz w:val="32"/>
          <w:szCs w:val="32"/>
        </w:rPr>
        <w:t xml:space="preserve">Проверен объем бюджетных и </w:t>
      </w:r>
      <w:proofErr w:type="gramStart"/>
      <w:r>
        <w:rPr>
          <w:rFonts w:ascii="Times New Roman" w:hAnsi="Times New Roman" w:cs="Times New Roman"/>
          <w:color w:val="auto"/>
          <w:sz w:val="32"/>
          <w:szCs w:val="32"/>
        </w:rPr>
        <w:t>внебюджетных  средств</w:t>
      </w:r>
      <w:proofErr w:type="gramEnd"/>
      <w:r>
        <w:rPr>
          <w:rFonts w:ascii="Times New Roman" w:hAnsi="Times New Roman" w:cs="Times New Roman"/>
          <w:color w:val="auto"/>
          <w:sz w:val="32"/>
          <w:szCs w:val="32"/>
        </w:rPr>
        <w:t xml:space="preserve"> на  сумму 16,0 млрд. рублей, в том числе проверка бюджетной отчетности администратора средств  бюджета 8,1 млрд. рублей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(8,5 млрд. р.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бюдж.средства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,   7,5 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млрд.р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внебюдж.средства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>).</w:t>
      </w:r>
    </w:p>
    <w:p w:rsidR="00F50F95" w:rsidRDefault="00F50F95" w:rsidP="00F50F95">
      <w:pPr>
        <w:overflowPunct w:val="0"/>
        <w:spacing w:after="0" w:line="360" w:lineRule="auto"/>
        <w:ind w:firstLine="965"/>
        <w:jc w:val="both"/>
        <w:textAlignment w:val="baseline"/>
        <w:rPr>
          <w:rFonts w:ascii="Times New Roman" w:eastAsia="MS Mincho" w:hAnsi="Times New Roman" w:cs="Times New Roman"/>
          <w:color w:val="000000" w:themeColor="text1"/>
          <w:sz w:val="32"/>
          <w:szCs w:val="32"/>
          <w:lang w:eastAsia="ja-JP"/>
        </w:rPr>
      </w:pPr>
      <w:r>
        <w:rPr>
          <w:rFonts w:ascii="Times New Roman" w:hAnsi="Times New Roman" w:cs="Times New Roman"/>
          <w:sz w:val="32"/>
          <w:szCs w:val="32"/>
        </w:rPr>
        <w:t xml:space="preserve">За отчетный год объем выявленных Контрольно – счетной палатой нарушений и недостатков составил на сумму 86 млн. 208 тыс. рублей или 607 случаев. По результатам проверок принято мер по устранению </w:t>
      </w:r>
      <w:proofErr w:type="gramStart"/>
      <w:r>
        <w:rPr>
          <w:rFonts w:ascii="Times New Roman" w:hAnsi="Times New Roman" w:cs="Times New Roman"/>
          <w:sz w:val="32"/>
          <w:szCs w:val="32"/>
        </w:rPr>
        <w:t>в  498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выявленном нарушении на общую сумму 74 млн. 013,4 тыс. рублей или 86% от выявленных нарушений в суммовом выражении.</w:t>
      </w:r>
      <w:r>
        <w:rPr>
          <w:rFonts w:ascii="Times New Roman" w:eastAsia="MS Mincho" w:hAnsi="Times New Roman" w:cs="Times New Roman"/>
          <w:color w:val="000000" w:themeColor="text1"/>
          <w:sz w:val="32"/>
          <w:szCs w:val="32"/>
          <w:lang w:eastAsia="ja-JP"/>
        </w:rPr>
        <w:t xml:space="preserve"> В общем объеме выявленных нарушений 9 % - это нарушения в сфере управления и распоряжения муниципальной собственностью </w:t>
      </w:r>
      <w:r>
        <w:rPr>
          <w:rFonts w:ascii="Times New Roman" w:eastAsia="MS Mincho" w:hAnsi="Times New Roman" w:cs="Times New Roman"/>
          <w:color w:val="000000" w:themeColor="text1"/>
          <w:lang w:eastAsia="ja-JP"/>
        </w:rPr>
        <w:t xml:space="preserve">(34 </w:t>
      </w:r>
      <w:proofErr w:type="gramStart"/>
      <w:r>
        <w:rPr>
          <w:rFonts w:ascii="Times New Roman" w:eastAsia="MS Mincho" w:hAnsi="Times New Roman" w:cs="Times New Roman"/>
          <w:color w:val="000000" w:themeColor="text1"/>
          <w:lang w:eastAsia="ja-JP"/>
        </w:rPr>
        <w:t>случая,  7</w:t>
      </w:r>
      <w:proofErr w:type="gramEnd"/>
      <w:r>
        <w:rPr>
          <w:rFonts w:ascii="Times New Roman" w:eastAsia="MS Mincho" w:hAnsi="Times New Roman" w:cs="Times New Roman"/>
          <w:color w:val="000000" w:themeColor="text1"/>
          <w:lang w:eastAsia="ja-JP"/>
        </w:rPr>
        <w:t>,8  млн. руб.)</w:t>
      </w:r>
      <w:r>
        <w:rPr>
          <w:rFonts w:ascii="Times New Roman" w:eastAsia="MS Mincho" w:hAnsi="Times New Roman" w:cs="Times New Roman"/>
          <w:color w:val="000000" w:themeColor="text1"/>
          <w:sz w:val="32"/>
          <w:szCs w:val="32"/>
          <w:lang w:eastAsia="ja-JP"/>
        </w:rPr>
        <w:t>,</w:t>
      </w:r>
    </w:p>
    <w:p w:rsidR="00F50F95" w:rsidRDefault="00F50F95" w:rsidP="00F50F95">
      <w:pPr>
        <w:spacing w:after="0" w:line="360" w:lineRule="auto"/>
        <w:ind w:firstLine="284"/>
        <w:jc w:val="both"/>
        <w:rPr>
          <w:rFonts w:ascii="Times New Roman" w:eastAsia="MS Mincho" w:hAnsi="Times New Roman" w:cs="Times New Roman"/>
          <w:color w:val="000000" w:themeColor="text1"/>
          <w:sz w:val="32"/>
          <w:szCs w:val="32"/>
          <w:lang w:eastAsia="ja-JP"/>
        </w:rPr>
      </w:pPr>
      <w:r>
        <w:rPr>
          <w:rFonts w:ascii="Times New Roman" w:eastAsia="MS Mincho" w:hAnsi="Times New Roman" w:cs="Times New Roman"/>
          <w:color w:val="000000" w:themeColor="text1"/>
          <w:sz w:val="32"/>
          <w:szCs w:val="32"/>
          <w:lang w:eastAsia="ja-JP"/>
        </w:rPr>
        <w:t xml:space="preserve">12,8 %-нарушения при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формировании и исполнении бюджетов</w:t>
      </w:r>
      <w:r>
        <w:rPr>
          <w:rFonts w:ascii="Times New Roman" w:eastAsia="MS Mincho" w:hAnsi="Times New Roman" w:cs="Times New Roman"/>
          <w:color w:val="000000" w:themeColor="text1"/>
          <w:sz w:val="32"/>
          <w:szCs w:val="32"/>
          <w:lang w:eastAsia="ja-JP"/>
        </w:rPr>
        <w:t xml:space="preserve"> </w:t>
      </w:r>
      <w:r>
        <w:rPr>
          <w:rFonts w:ascii="Times New Roman" w:eastAsia="MS Mincho" w:hAnsi="Times New Roman" w:cs="Times New Roman"/>
          <w:color w:val="000000" w:themeColor="text1"/>
          <w:lang w:eastAsia="ja-JP"/>
        </w:rPr>
        <w:t>(формирование и исполнении муниципальных заданий)</w:t>
      </w:r>
      <w:r>
        <w:rPr>
          <w:rFonts w:ascii="Times New Roman" w:eastAsia="MS Mincho" w:hAnsi="Times New Roman" w:cs="Times New Roman"/>
          <w:color w:val="000000" w:themeColor="text1"/>
          <w:sz w:val="32"/>
          <w:szCs w:val="32"/>
          <w:lang w:eastAsia="ja-JP"/>
        </w:rPr>
        <w:t xml:space="preserve"> </w:t>
      </w:r>
      <w:r>
        <w:rPr>
          <w:rFonts w:ascii="Times New Roman" w:eastAsia="MS Mincho" w:hAnsi="Times New Roman" w:cs="Times New Roman"/>
          <w:color w:val="000000" w:themeColor="text1"/>
          <w:lang w:eastAsia="ja-JP"/>
        </w:rPr>
        <w:t>(24 случая, 11,0 млн. руб.)</w:t>
      </w:r>
      <w:r>
        <w:rPr>
          <w:rFonts w:ascii="Times New Roman" w:eastAsia="MS Mincho" w:hAnsi="Times New Roman" w:cs="Times New Roman"/>
          <w:color w:val="000000" w:themeColor="text1"/>
          <w:sz w:val="32"/>
          <w:szCs w:val="32"/>
          <w:lang w:eastAsia="ja-JP"/>
        </w:rPr>
        <w:t>,</w:t>
      </w:r>
    </w:p>
    <w:p w:rsidR="00F50F95" w:rsidRDefault="00F50F95" w:rsidP="00F50F95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MS Mincho" w:hAnsi="Times New Roman" w:cs="Times New Roman"/>
          <w:color w:val="000000" w:themeColor="text1"/>
          <w:sz w:val="32"/>
          <w:szCs w:val="32"/>
          <w:lang w:eastAsia="ja-JP"/>
        </w:rPr>
        <w:t>78,2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% - нарушения по использованию бюджетных и внебюджетных средств, </w:t>
      </w:r>
      <w:r>
        <w:rPr>
          <w:rFonts w:ascii="Times New Roman" w:eastAsia="MS Mincho" w:hAnsi="Times New Roman" w:cs="Times New Roman"/>
          <w:color w:val="000000" w:themeColor="text1"/>
          <w:sz w:val="32"/>
          <w:szCs w:val="32"/>
          <w:lang w:eastAsia="ja-JP"/>
        </w:rPr>
        <w:t xml:space="preserve">ведения бухгалтерского учета, составления </w:t>
      </w:r>
      <w:r>
        <w:rPr>
          <w:rFonts w:ascii="Times New Roman" w:eastAsia="MS Mincho" w:hAnsi="Times New Roman" w:cs="Times New Roman"/>
          <w:color w:val="000000" w:themeColor="text1"/>
          <w:sz w:val="32"/>
          <w:szCs w:val="32"/>
          <w:lang w:eastAsia="ja-JP"/>
        </w:rPr>
        <w:lastRenderedPageBreak/>
        <w:t xml:space="preserve">и представления бухгалтерской (финансовой) отчетности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(532 случая, 66,7 млн. рублей)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F50F95" w:rsidRDefault="00F50F95" w:rsidP="00F50F95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MS Mincho" w:hAnsi="Times New Roman" w:cs="Times New Roman"/>
          <w:color w:val="FF0000"/>
          <w:sz w:val="32"/>
          <w:szCs w:val="32"/>
          <w:lang w:eastAsia="ja-JP"/>
        </w:rPr>
        <w:t xml:space="preserve">     </w:t>
      </w:r>
      <w:r>
        <w:rPr>
          <w:rFonts w:ascii="Times New Roman" w:eastAsia="MS Mincho" w:hAnsi="Times New Roman" w:cs="Times New Roman"/>
          <w:sz w:val="32"/>
          <w:szCs w:val="32"/>
          <w:lang w:eastAsia="ja-JP"/>
        </w:rPr>
        <w:t xml:space="preserve">Кроме того, </w:t>
      </w:r>
      <w:r>
        <w:rPr>
          <w:rFonts w:ascii="Times New Roman" w:hAnsi="Times New Roman" w:cs="Times New Roman"/>
          <w:sz w:val="32"/>
          <w:szCs w:val="32"/>
        </w:rPr>
        <w:t>нами проведен аудит в сфере закупок 3-ех муниципальных заказчиков, проверено 292 контракта на общую сумму 12 млн. 881,4 тыс. рублей. Установлено 7 нарушений.</w:t>
      </w:r>
    </w:p>
    <w:p w:rsidR="00F50F95" w:rsidRDefault="00F50F95" w:rsidP="00F50F95">
      <w:pPr>
        <w:spacing w:before="12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 результатам аудита в сфере закупок руководителям муниципальных учреждений даны рекомендации:</w:t>
      </w:r>
    </w:p>
    <w:p w:rsidR="00F50F95" w:rsidRPr="00077CE7" w:rsidRDefault="00F50F95" w:rsidP="00F50F95">
      <w:pPr>
        <w:pStyle w:val="a6"/>
        <w:numPr>
          <w:ilvl w:val="0"/>
          <w:numId w:val="1"/>
        </w:numPr>
        <w:ind w:left="425" w:hanging="425"/>
        <w:jc w:val="both"/>
        <w:rPr>
          <w:sz w:val="28"/>
          <w:szCs w:val="28"/>
        </w:rPr>
      </w:pPr>
      <w:r w:rsidRPr="00077CE7">
        <w:rPr>
          <w:sz w:val="28"/>
          <w:szCs w:val="28"/>
        </w:rPr>
        <w:t>в целях достижения результативности, эффективности и своевременности закупок, максимально эффективно планировать закупки на этапе утверждения планов-графиков. Ответственным лицам усилить контроль за планированием закупок товаров, работ, услуг и исполнением контрактов, приемкой товаров, работ, услуг;</w:t>
      </w:r>
    </w:p>
    <w:p w:rsidR="00F50F95" w:rsidRPr="00077CE7" w:rsidRDefault="00F50F95" w:rsidP="00F50F95">
      <w:pPr>
        <w:pStyle w:val="a6"/>
        <w:numPr>
          <w:ilvl w:val="0"/>
          <w:numId w:val="1"/>
        </w:numPr>
        <w:spacing w:before="120"/>
        <w:ind w:left="425" w:hanging="425"/>
        <w:jc w:val="both"/>
        <w:rPr>
          <w:sz w:val="28"/>
          <w:szCs w:val="28"/>
        </w:rPr>
      </w:pPr>
      <w:r w:rsidRPr="00077CE7">
        <w:rPr>
          <w:sz w:val="28"/>
          <w:szCs w:val="28"/>
        </w:rPr>
        <w:t>обеспечить экспертизу результатов исполнения всех контрактов (договоров) на закупку в соответствии с законодательством о закупках;</w:t>
      </w:r>
    </w:p>
    <w:p w:rsidR="00F50F95" w:rsidRPr="00077CE7" w:rsidRDefault="00F50F95" w:rsidP="00F50F95">
      <w:pPr>
        <w:pStyle w:val="a6"/>
        <w:numPr>
          <w:ilvl w:val="0"/>
          <w:numId w:val="1"/>
        </w:numPr>
        <w:spacing w:before="120"/>
        <w:ind w:left="425" w:hanging="425"/>
        <w:jc w:val="both"/>
        <w:rPr>
          <w:sz w:val="28"/>
          <w:szCs w:val="28"/>
        </w:rPr>
      </w:pPr>
      <w:r w:rsidRPr="00077CE7">
        <w:rPr>
          <w:sz w:val="28"/>
          <w:szCs w:val="28"/>
        </w:rPr>
        <w:t>повышать квалификацию контрактных управляющих.</w:t>
      </w:r>
    </w:p>
    <w:p w:rsidR="00F50F95" w:rsidRPr="00077CE7" w:rsidRDefault="00F50F95" w:rsidP="00F50F95">
      <w:pPr>
        <w:pStyle w:val="a6"/>
        <w:spacing w:before="120"/>
        <w:ind w:left="425"/>
        <w:jc w:val="both"/>
        <w:rPr>
          <w:sz w:val="28"/>
          <w:szCs w:val="28"/>
        </w:rPr>
      </w:pPr>
    </w:p>
    <w:p w:rsidR="00F50F95" w:rsidRDefault="00F50F95" w:rsidP="00F50F95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pacing w:val="2"/>
          <w:sz w:val="32"/>
          <w:szCs w:val="32"/>
        </w:rPr>
        <w:t>По итогам всех проведенных мероприятий</w:t>
      </w:r>
      <w:r>
        <w:rPr>
          <w:rFonts w:ascii="Times New Roman" w:hAnsi="Times New Roman" w:cs="Times New Roman"/>
          <w:sz w:val="32"/>
          <w:szCs w:val="32"/>
        </w:rPr>
        <w:t xml:space="preserve"> направлено:</w:t>
      </w:r>
    </w:p>
    <w:p w:rsidR="00F50F95" w:rsidRDefault="00F50F95" w:rsidP="00F50F95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>
        <w:rPr>
          <w:rFonts w:ascii="Times New Roman" w:hAnsi="Times New Roman" w:cs="Times New Roman"/>
          <w:spacing w:val="1"/>
          <w:sz w:val="32"/>
          <w:szCs w:val="32"/>
        </w:rPr>
        <w:t>Мэру города и в Исполнительный комитет муниципального образования г. Набережные Челны 35 отчетов и</w:t>
      </w:r>
      <w:r>
        <w:rPr>
          <w:rFonts w:ascii="Times New Roman" w:hAnsi="Times New Roman" w:cs="Times New Roman"/>
          <w:sz w:val="32"/>
          <w:szCs w:val="32"/>
        </w:rPr>
        <w:t xml:space="preserve"> заключений, 5 аналитических записок, 5 справок мониторинга.</w:t>
      </w:r>
      <w:r w:rsidRPr="00F50F9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50F95" w:rsidRDefault="00F50F95" w:rsidP="00F50F95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052A5C">
        <w:rPr>
          <w:rFonts w:ascii="Times New Roman" w:hAnsi="Times New Roman" w:cs="Times New Roman"/>
          <w:sz w:val="32"/>
          <w:szCs w:val="32"/>
        </w:rPr>
        <w:t>П</w:t>
      </w:r>
      <w:r>
        <w:rPr>
          <w:rFonts w:ascii="Times New Roman" w:hAnsi="Times New Roman" w:cs="Times New Roman"/>
          <w:sz w:val="32"/>
          <w:szCs w:val="32"/>
        </w:rPr>
        <w:t xml:space="preserve">роверяемым организациям и в Исполнительный комитет муниципального образования </w:t>
      </w:r>
      <w:r>
        <w:rPr>
          <w:rFonts w:ascii="Times New Roman" w:hAnsi="Times New Roman" w:cs="Times New Roman"/>
          <w:spacing w:val="1"/>
          <w:sz w:val="32"/>
          <w:szCs w:val="32"/>
        </w:rPr>
        <w:t xml:space="preserve">г. Набережные Челны </w:t>
      </w:r>
      <w:r>
        <w:rPr>
          <w:rFonts w:ascii="Times New Roman" w:hAnsi="Times New Roman" w:cs="Times New Roman"/>
          <w:sz w:val="32"/>
          <w:szCs w:val="32"/>
        </w:rPr>
        <w:t xml:space="preserve">21 акт (справок),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16 представлений </w:t>
      </w:r>
      <w:r>
        <w:rPr>
          <w:rFonts w:ascii="Times New Roman" w:hAnsi="Times New Roman" w:cs="Times New Roman"/>
          <w:sz w:val="32"/>
          <w:szCs w:val="32"/>
        </w:rPr>
        <w:t xml:space="preserve">об устранении нарушений, в том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числе </w:t>
      </w:r>
      <w:r w:rsidRPr="00F50F9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8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представлений на проверяемые объекты, 7 представлений и 1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предписание в Исполнительный комитет города.</w:t>
      </w:r>
    </w:p>
    <w:p w:rsidR="00F50F95" w:rsidRDefault="00F50F95" w:rsidP="00F50F95">
      <w:pPr>
        <w:overflowPunct w:val="0"/>
        <w:spacing w:after="0" w:line="360" w:lineRule="auto"/>
        <w:ind w:firstLine="539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соответствии с Положением и Регламентом Контрольно - счетной палаты вопросы внутреннего планирования и организации работы, результаты контрольно-ревизионных и экспертно-аналитических мероприятий рассматривались на заседаниях Коллегии Контрольно - счетной палаты. Всего проведено 20 заседаний, рассмотрено 55 вопросов в рамках обсуждения результатов контрольных и экспертно-аналитических мероприятий.</w:t>
      </w:r>
    </w:p>
    <w:p w:rsidR="00F50F95" w:rsidRDefault="00F50F95" w:rsidP="00F50F95">
      <w:pPr>
        <w:pStyle w:val="RedStr"/>
        <w:spacing w:line="360" w:lineRule="auto"/>
        <w:ind w:firstLine="709"/>
        <w:rPr>
          <w:sz w:val="28"/>
          <w:szCs w:val="28"/>
        </w:rPr>
      </w:pPr>
      <w:r>
        <w:rPr>
          <w:sz w:val="28"/>
        </w:rPr>
        <w:lastRenderedPageBreak/>
        <w:t xml:space="preserve">   </w:t>
      </w:r>
      <w:r>
        <w:rPr>
          <w:sz w:val="32"/>
          <w:szCs w:val="32"/>
        </w:rPr>
        <w:t xml:space="preserve">  Контроль за исполнением муниципальных программ, расходованием бюджетных средств, достижением целевых показателей муниципальных заданий проводится </w:t>
      </w:r>
      <w:r w:rsidR="00E525A3">
        <w:rPr>
          <w:sz w:val="32"/>
          <w:szCs w:val="32"/>
        </w:rPr>
        <w:t xml:space="preserve">в увязки </w:t>
      </w:r>
      <w:r>
        <w:rPr>
          <w:sz w:val="32"/>
          <w:szCs w:val="32"/>
        </w:rPr>
        <w:t>эффективност</w:t>
      </w:r>
      <w:r w:rsidR="00E525A3">
        <w:rPr>
          <w:sz w:val="32"/>
          <w:szCs w:val="32"/>
        </w:rPr>
        <w:t>и</w:t>
      </w:r>
      <w:r>
        <w:rPr>
          <w:sz w:val="32"/>
          <w:szCs w:val="32"/>
        </w:rPr>
        <w:t xml:space="preserve"> расходов с конкретными конечными целями. </w:t>
      </w:r>
    </w:p>
    <w:p w:rsidR="00F50F95" w:rsidRDefault="00F50F95" w:rsidP="00F50F95">
      <w:p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32"/>
          <w:szCs w:val="32"/>
        </w:rPr>
        <w:t xml:space="preserve">    Так в отчетном году проведены контрольные мероприятия</w:t>
      </w:r>
      <w:r>
        <w:rPr>
          <w:rFonts w:ascii="Times New Roman" w:hAnsi="Times New Roman" w:cs="Times New Roman"/>
          <w:bCs/>
          <w:sz w:val="32"/>
          <w:szCs w:val="32"/>
        </w:rPr>
        <w:t xml:space="preserve"> по </w:t>
      </w:r>
      <w:proofErr w:type="gramStart"/>
      <w:r>
        <w:rPr>
          <w:rFonts w:ascii="Times New Roman" w:hAnsi="Times New Roman" w:cs="Times New Roman"/>
          <w:bCs/>
          <w:sz w:val="32"/>
          <w:szCs w:val="32"/>
        </w:rPr>
        <w:t>теме  "</w:t>
      </w:r>
      <w:proofErr w:type="gramEnd"/>
      <w:r>
        <w:rPr>
          <w:rFonts w:ascii="Times New Roman" w:hAnsi="Times New Roman" w:cs="Times New Roman"/>
          <w:bCs/>
          <w:sz w:val="32"/>
          <w:szCs w:val="32"/>
        </w:rPr>
        <w:t xml:space="preserve">Аудит эффективности использования муниципального имущества,    расходования бюджетных  и внебюджетных средств,  качества оказания муниципальных услуг  в двух учреждениях культуры </w:t>
      </w:r>
      <w:r>
        <w:rPr>
          <w:rFonts w:ascii="Times New Roman" w:hAnsi="Times New Roman" w:cs="Times New Roman"/>
          <w:bCs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МАУК «ДК энергетик»;  МАУК «Джазовый оркестр Визит»,)</w:t>
      </w:r>
      <w:r>
        <w:rPr>
          <w:rFonts w:ascii="Times New Roman" w:hAnsi="Times New Roman" w:cs="Times New Roman"/>
          <w:bCs/>
          <w:sz w:val="32"/>
          <w:szCs w:val="32"/>
        </w:rPr>
        <w:t xml:space="preserve"> и в одном учреждении физической культуры и спорта </w:t>
      </w:r>
      <w:r>
        <w:rPr>
          <w:rFonts w:ascii="Times New Roman" w:hAnsi="Times New Roman" w:cs="Times New Roman"/>
          <w:bCs/>
          <w:sz w:val="20"/>
          <w:szCs w:val="20"/>
        </w:rPr>
        <w:t>( МАУ СШ «Строитель).</w:t>
      </w:r>
    </w:p>
    <w:p w:rsidR="00F50F95" w:rsidRDefault="00F50F95" w:rsidP="00F50F9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 результатам проведенного аудита учредителю и бюджетным учреждениям в соответствии с действующим законодательством также даны рекомендации:</w:t>
      </w:r>
    </w:p>
    <w:p w:rsidR="00F50F95" w:rsidRPr="00077CE7" w:rsidRDefault="00F50F95" w:rsidP="00F50F9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формировании муниципальных заданий для учреждений культуры</w:t>
      </w:r>
      <w:r w:rsidRPr="00077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учитывать значения показателей, утвержденные в Муниципальной программе, а также значения показателей качества предоставления муниципальной услуги, утвержденные приказом Минкультуры РТ от 10.07.2015 г. №732од «Об утверждении показателей оценки качества государственных и муниципальных услуг». </w:t>
      </w:r>
    </w:p>
    <w:p w:rsidR="00F50F95" w:rsidRPr="00077CE7" w:rsidRDefault="00F50F95" w:rsidP="00F50F95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CE7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количественные и качественные показатели муниципального задания не включать мероприятия, проводимые Учреждениями на платной основе по заключенным коммерческим договорам.</w:t>
      </w:r>
    </w:p>
    <w:p w:rsidR="00F50F95" w:rsidRPr="00077CE7" w:rsidRDefault="00F50F95" w:rsidP="00F50F95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CE7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Учредителю необходимо усилить контроль над выполнением качественных и количественных показателей муниципальных заданий Учреждений и над выполнением учебной нагрузки по воспитанникам.</w:t>
      </w:r>
    </w:p>
    <w:p w:rsidR="00F50F95" w:rsidRPr="00077CE7" w:rsidRDefault="00F50F95" w:rsidP="00F50F95">
      <w:pPr>
        <w:numPr>
          <w:ilvl w:val="0"/>
          <w:numId w:val="2"/>
        </w:numPr>
        <w:tabs>
          <w:tab w:val="left" w:pos="360"/>
          <w:tab w:val="left" w:pos="851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7CE7">
        <w:rPr>
          <w:rFonts w:ascii="Times New Roman" w:hAnsi="Times New Roman" w:cs="Times New Roman"/>
          <w:color w:val="000000"/>
          <w:sz w:val="28"/>
          <w:szCs w:val="28"/>
        </w:rPr>
        <w:t>Продолжить работу и утвердить стандарты качества муниципальных услуг по предоставлению услуг спортивной направленности и</w:t>
      </w:r>
      <w:r w:rsidRPr="00077CE7">
        <w:rPr>
          <w:rFonts w:ascii="Times New Roman" w:hAnsi="Times New Roman" w:cs="Times New Roman"/>
          <w:sz w:val="28"/>
          <w:szCs w:val="28"/>
        </w:rPr>
        <w:t xml:space="preserve"> критерии оценки качества результатов предоставления услуг в области культуры с указанием их пороговых значений.</w:t>
      </w:r>
    </w:p>
    <w:p w:rsidR="00F50F95" w:rsidRPr="00077CE7" w:rsidRDefault="00F50F95" w:rsidP="00F50F95">
      <w:pPr>
        <w:widowControl w:val="0"/>
        <w:numPr>
          <w:ilvl w:val="0"/>
          <w:numId w:val="2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количественную проверку полноты выполнения </w:t>
      </w:r>
      <w:r w:rsidRPr="00077C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муниципальных заданий (счетный контроль), проводить оценку достоверности предоставляемых учреждениями данных отчетности по выполнению муниципального задания. Для этого необходимо разработать и утвердить порядок, сроки, периодичность проведения и оформления результатов ведомственного контроля учредителя с выходом в учреждения.</w:t>
      </w:r>
    </w:p>
    <w:p w:rsidR="00F50F95" w:rsidRPr="00077CE7" w:rsidRDefault="00F50F95" w:rsidP="00F50F95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10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7CE7">
        <w:rPr>
          <w:rFonts w:ascii="Times New Roman" w:hAnsi="Times New Roman" w:cs="Times New Roman"/>
          <w:sz w:val="28"/>
          <w:szCs w:val="28"/>
        </w:rPr>
        <w:t>- Разработать и утвердить понижающий коэффициент для расчета премий руководителей учреждений, при наличии в учреждении нарушений, выявленных в ходе ведомственных, внутренних или внешних проверок.</w:t>
      </w:r>
    </w:p>
    <w:p w:rsidR="00F50F95" w:rsidRPr="00077CE7" w:rsidRDefault="00F50F95" w:rsidP="00F50F95">
      <w:pPr>
        <w:shd w:val="clear" w:color="auto" w:fill="FFFFFF"/>
        <w:spacing w:after="0" w:line="360" w:lineRule="auto"/>
        <w:ind w:firstLine="687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eastAsia="ru-RU"/>
        </w:rPr>
        <w:t xml:space="preserve">В экспертных заключениях в рамках контроля эффективности и рациональности использования бюджетных средств проводился мониторинг отдельных вопросов исполнения бюджета, </w:t>
      </w:r>
      <w:bookmarkStart w:id="0" w:name="_GoBack"/>
      <w:r w:rsidRPr="00077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а именно: динамики дебиторской и кредиторской задолженности, </w:t>
      </w:r>
      <w:r w:rsidRPr="00077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расходовании средств дорожного и резервного фонда,</w:t>
      </w:r>
      <w:r w:rsidRPr="00077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состояния муниципального долга, изменения объема и структуры </w:t>
      </w:r>
      <w:r w:rsidRPr="00077CE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выпадающих доходов местного бюджета</w:t>
      </w:r>
      <w:r w:rsidRPr="00077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динамики </w:t>
      </w:r>
      <w:r w:rsidRPr="00077CE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задолженности по налогам, сборам и иным обязательным платежам, зачисляемым в бюджет муниципального образования</w:t>
      </w:r>
      <w:r w:rsidRPr="00077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своевременности </w:t>
      </w:r>
      <w:r w:rsidRPr="00077CE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исполнения судебных актов по искам к муниципальному образованию г. Набережные Челны</w:t>
      </w:r>
      <w:r w:rsidRPr="00077C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</w:t>
      </w:r>
    </w:p>
    <w:bookmarkEnd w:id="0"/>
    <w:p w:rsidR="00F50F95" w:rsidRDefault="00F50F95" w:rsidP="00F50F95">
      <w:pPr>
        <w:pStyle w:val="a3"/>
        <w:spacing w:after="0" w:line="360" w:lineRule="auto"/>
        <w:ind w:left="0" w:firstLine="426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В прокуратуру города направлено 10 актов проверок. </w:t>
      </w:r>
      <w:proofErr w:type="gramStart"/>
      <w:r>
        <w:rPr>
          <w:sz w:val="32"/>
          <w:szCs w:val="32"/>
        </w:rPr>
        <w:t>По результатам</w:t>
      </w:r>
      <w:proofErr w:type="gramEnd"/>
      <w:r>
        <w:rPr>
          <w:sz w:val="32"/>
          <w:szCs w:val="32"/>
        </w:rPr>
        <w:t xml:space="preserve"> которых прокуратурой в адрес руководителей внесены представления.</w:t>
      </w:r>
    </w:p>
    <w:p w:rsidR="00F50F95" w:rsidRDefault="00F50F95" w:rsidP="00F50F95">
      <w:pPr>
        <w:pStyle w:val="a3"/>
        <w:spacing w:after="0" w:line="360" w:lineRule="auto"/>
        <w:ind w:left="0" w:firstLine="426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Контрольно-счетной палатой составлено 4 протокола об административных правонарушениях </w:t>
      </w:r>
      <w:r>
        <w:rPr>
          <w:sz w:val="22"/>
          <w:szCs w:val="22"/>
        </w:rPr>
        <w:t>(ДК Энергетик, ДО Визит)</w:t>
      </w:r>
      <w:r>
        <w:rPr>
          <w:sz w:val="32"/>
          <w:szCs w:val="32"/>
        </w:rPr>
        <w:t>.</w:t>
      </w:r>
    </w:p>
    <w:p w:rsidR="00F50F95" w:rsidRDefault="00F50F95" w:rsidP="00F50F95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В</w:t>
      </w:r>
      <w:r>
        <w:rPr>
          <w:rFonts w:ascii="Times New Roman" w:hAnsi="Times New Roman" w:cs="Times New Roman"/>
          <w:sz w:val="32"/>
          <w:szCs w:val="32"/>
        </w:rPr>
        <w:t xml:space="preserve"> соответствии с соглашением о совместной деятельности специалисты Контрольно – счетной палаты привлекались Прокуратурой города и Счетной палатой Республики Татарстан для проведения пяти внеплановых проверок.</w:t>
      </w:r>
    </w:p>
    <w:p w:rsidR="00F50F95" w:rsidRDefault="00F50F95" w:rsidP="00F50F95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части обмена практикой реализации полномочий Контрольно-счетная палата осуществляла взаимное сотрудничество с Советом контрольно-счетных органов Республики Татарстан и с Союзом </w:t>
      </w:r>
      <w:r>
        <w:rPr>
          <w:rFonts w:ascii="Times New Roman" w:hAnsi="Times New Roman" w:cs="Times New Roman"/>
          <w:sz w:val="32"/>
          <w:szCs w:val="32"/>
        </w:rPr>
        <w:lastRenderedPageBreak/>
        <w:t>муниципальных контрольно-счетных органов Российской Федерации.</w:t>
      </w:r>
    </w:p>
    <w:p w:rsidR="00F50F95" w:rsidRDefault="00F50F95" w:rsidP="00F50F95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План работы Контрольно-счетной палаты на 2021 год выполнен.</w:t>
      </w:r>
    </w:p>
    <w:p w:rsidR="00F50F95" w:rsidRDefault="00F50F95" w:rsidP="00F50F9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завершение хочу сказать, что д</w:t>
      </w:r>
      <w:r>
        <w:rPr>
          <w:rFonts w:ascii="Times New Roman" w:hAnsi="Times New Roman" w:cs="Times New Roman"/>
          <w:iCs/>
          <w:sz w:val="32"/>
          <w:szCs w:val="32"/>
        </w:rPr>
        <w:t xml:space="preserve">еятельность </w:t>
      </w:r>
      <w:r>
        <w:rPr>
          <w:rFonts w:ascii="Times New Roman" w:hAnsi="Times New Roman" w:cs="Times New Roman"/>
          <w:sz w:val="32"/>
          <w:szCs w:val="32"/>
        </w:rPr>
        <w:t>Контрольно - с</w:t>
      </w:r>
      <w:r>
        <w:rPr>
          <w:rFonts w:ascii="Times New Roman" w:hAnsi="Times New Roman" w:cs="Times New Roman"/>
          <w:iCs/>
          <w:sz w:val="32"/>
          <w:szCs w:val="32"/>
        </w:rPr>
        <w:t>четной палаты</w:t>
      </w:r>
      <w:r>
        <w:rPr>
          <w:rFonts w:ascii="Times New Roman" w:hAnsi="Times New Roman" w:cs="Times New Roman"/>
          <w:sz w:val="32"/>
          <w:szCs w:val="32"/>
        </w:rPr>
        <w:t xml:space="preserve"> в 2022 году будет направлена</w:t>
      </w:r>
      <w:r>
        <w:rPr>
          <w:rFonts w:ascii="Times New Roman" w:hAnsi="Times New Roman" w:cs="Times New Roman"/>
          <w:iCs/>
          <w:sz w:val="32"/>
          <w:szCs w:val="32"/>
        </w:rPr>
        <w:t xml:space="preserve"> на </w:t>
      </w:r>
      <w:r>
        <w:rPr>
          <w:rFonts w:ascii="Times New Roman" w:hAnsi="Times New Roman" w:cs="Times New Roman"/>
          <w:sz w:val="32"/>
          <w:szCs w:val="32"/>
        </w:rPr>
        <w:t xml:space="preserve">обеспечение единой </w:t>
      </w:r>
      <w:r>
        <w:rPr>
          <w:rFonts w:ascii="Times New Roman" w:hAnsi="Times New Roman" w:cs="Times New Roman"/>
          <w:bCs/>
          <w:sz w:val="32"/>
          <w:szCs w:val="32"/>
        </w:rPr>
        <w:t>системы</w:t>
      </w:r>
      <w:r>
        <w:rPr>
          <w:rFonts w:ascii="Times New Roman" w:hAnsi="Times New Roman" w:cs="Times New Roman"/>
          <w:sz w:val="32"/>
          <w:szCs w:val="32"/>
        </w:rPr>
        <w:t xml:space="preserve"> финансового контроля за исполнением бюджета муниципального образования города Набережные Челны.</w:t>
      </w:r>
    </w:p>
    <w:p w:rsidR="0005247A" w:rsidRDefault="00F50F95" w:rsidP="00F50F9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525A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5247A" w:rsidRDefault="0005247A" w:rsidP="00F50F9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F50F95" w:rsidRDefault="00F50F95" w:rsidP="00F50F9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525A3">
        <w:rPr>
          <w:rFonts w:ascii="Times New Roman" w:hAnsi="Times New Roman" w:cs="Times New Roman"/>
          <w:sz w:val="32"/>
          <w:szCs w:val="32"/>
        </w:rPr>
        <w:t>Спасибо за внимание.</w:t>
      </w:r>
    </w:p>
    <w:p w:rsidR="00052A5C" w:rsidRDefault="00052A5C" w:rsidP="00F50F9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052A5C" w:rsidRDefault="00052A5C" w:rsidP="00F50F9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052A5C" w:rsidRDefault="00052A5C" w:rsidP="00F50F9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052A5C" w:rsidRDefault="00052A5C" w:rsidP="00F50F9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sectPr w:rsidR="00052A5C" w:rsidSect="00E525A3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F311B4"/>
    <w:multiLevelType w:val="hybridMultilevel"/>
    <w:tmpl w:val="B2CE33B6"/>
    <w:lvl w:ilvl="0" w:tplc="2D1E5D4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6FC2459D"/>
    <w:multiLevelType w:val="multilevel"/>
    <w:tmpl w:val="502E6804"/>
    <w:lvl w:ilvl="0">
      <w:start w:val="1"/>
      <w:numFmt w:val="bullet"/>
      <w:lvlText w:val="-"/>
      <w:lvlJc w:val="left"/>
      <w:pPr>
        <w:ind w:left="7307" w:hanging="360"/>
      </w:pPr>
      <w:rPr>
        <w:rFonts w:ascii="Courier New" w:hAnsi="Courier New" w:cs="Times New Roman" w:hint="default"/>
      </w:rPr>
    </w:lvl>
    <w:lvl w:ilvl="1">
      <w:start w:val="1"/>
      <w:numFmt w:val="bullet"/>
      <w:lvlText w:val="˗"/>
      <w:lvlJc w:val="left"/>
      <w:pPr>
        <w:ind w:left="3338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</w:lvl>
    <w:lvl w:ilvl="3">
      <w:start w:val="1"/>
      <w:numFmt w:val="decimal"/>
      <w:isLgl/>
      <w:lvlText w:val="%1.%2.%3.%4."/>
      <w:lvlJc w:val="left"/>
      <w:pPr>
        <w:ind w:left="1996" w:hanging="720"/>
      </w:pPr>
    </w:lvl>
    <w:lvl w:ilvl="4">
      <w:start w:val="1"/>
      <w:numFmt w:val="decimal"/>
      <w:isLgl/>
      <w:lvlText w:val="%1.%2.%3.%4.%5."/>
      <w:lvlJc w:val="left"/>
      <w:pPr>
        <w:ind w:left="2356" w:hanging="1080"/>
      </w:pPr>
    </w:lvl>
    <w:lvl w:ilvl="5">
      <w:start w:val="1"/>
      <w:numFmt w:val="decimal"/>
      <w:isLgl/>
      <w:lvlText w:val="%1.%2.%3.%4.%5.%6."/>
      <w:lvlJc w:val="left"/>
      <w:pPr>
        <w:ind w:left="2356" w:hanging="1080"/>
      </w:pPr>
    </w:lvl>
    <w:lvl w:ilvl="6">
      <w:start w:val="1"/>
      <w:numFmt w:val="decimal"/>
      <w:isLgl/>
      <w:lvlText w:val="%1.%2.%3.%4.%5.%6.%7."/>
      <w:lvlJc w:val="left"/>
      <w:pPr>
        <w:ind w:left="2716" w:hanging="1440"/>
      </w:p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F95"/>
    <w:rsid w:val="0005247A"/>
    <w:rsid w:val="00052A5C"/>
    <w:rsid w:val="00077CE7"/>
    <w:rsid w:val="00A505DF"/>
    <w:rsid w:val="00E525A3"/>
    <w:rsid w:val="00F5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FF3B95-2BC4-4DDA-8F4A-B2389EC46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F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F50F9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F50F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6"/>
    <w:uiPriority w:val="34"/>
    <w:locked/>
    <w:rsid w:val="00F50F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link w:val="a5"/>
    <w:uiPriority w:val="34"/>
    <w:qFormat/>
    <w:rsid w:val="00F50F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F50F9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RedStr">
    <w:name w:val="Red_Str"/>
    <w:basedOn w:val="a"/>
    <w:rsid w:val="00F50F95"/>
    <w:pPr>
      <w:widowControl w:val="0"/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505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505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1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CD141-6154-4BB3-8976-B81ECD2CF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1079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</dc:creator>
  <cp:keywords/>
  <dc:description/>
  <cp:lastModifiedBy>Учетная запись Майкрософт</cp:lastModifiedBy>
  <cp:revision>6</cp:revision>
  <cp:lastPrinted>2022-02-25T06:34:00Z</cp:lastPrinted>
  <dcterms:created xsi:type="dcterms:W3CDTF">2022-02-25T06:18:00Z</dcterms:created>
  <dcterms:modified xsi:type="dcterms:W3CDTF">2022-09-19T07:47:00Z</dcterms:modified>
</cp:coreProperties>
</file>