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FEF94F3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6F295D">
              <w:rPr>
                <w:sz w:val="22"/>
              </w:rPr>
              <w:t>23 апреля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6F295D">
              <w:rPr>
                <w:sz w:val="22"/>
              </w:rPr>
              <w:t>3050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43B39830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5BE24B84" w14:textId="77777777" w:rsidR="00FE2CDD" w:rsidRPr="00C910F5" w:rsidRDefault="00FE2CDD" w:rsidP="00FE2CDD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3646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739"/>
              <w:gridCol w:w="1843"/>
              <w:gridCol w:w="901"/>
              <w:gridCol w:w="1598"/>
              <w:gridCol w:w="992"/>
              <w:gridCol w:w="851"/>
              <w:gridCol w:w="1559"/>
              <w:gridCol w:w="1276"/>
              <w:gridCol w:w="903"/>
              <w:gridCol w:w="1455"/>
            </w:tblGrid>
            <w:tr w:rsidR="00FE2CDD" w:rsidRPr="00972703" w14:paraId="6844037D" w14:textId="77777777" w:rsidTr="00FE2CDD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1377FE3E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7D614A97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18777A4B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A9B5767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7474E12F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42EFAEF3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598" w:type="dxa"/>
                  <w:shd w:val="clear" w:color="auto" w:fill="auto"/>
                </w:tcPr>
                <w:p w14:paraId="00178942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1F94873" w14:textId="77777777" w:rsidR="00FE2CDD" w:rsidRPr="00CD6F2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35D2257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56FB64C8" w14:textId="77777777" w:rsidR="00FE2CDD" w:rsidRPr="00CD6F2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5562C32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55EA1DFB" w14:textId="77777777" w:rsidR="00FE2CDD" w:rsidRPr="0097270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455" w:type="dxa"/>
                </w:tcPr>
                <w:p w14:paraId="118CF948" w14:textId="77777777" w:rsidR="00FE2CDD" w:rsidRPr="000B47E9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FE2CDD" w:rsidRPr="00972703" w14:paraId="51908B99" w14:textId="77777777" w:rsidTr="00FE2CDD">
              <w:trPr>
                <w:cantSplit/>
                <w:trHeight w:val="224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446C56E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7A10B977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6EA80662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 </w:t>
                  </w:r>
                </w:p>
                <w:p w14:paraId="3F09DD0E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260А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723AD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4.9.1.4 – </w:t>
                  </w:r>
                </w:p>
                <w:p w14:paraId="51498694" w14:textId="77777777" w:rsidR="00FE2CDD" w:rsidRPr="00D326EA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ремонт автомобилей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0CBCC87D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1642C64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07CF05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1435</w:t>
                  </w:r>
                </w:p>
              </w:tc>
              <w:tc>
                <w:tcPr>
                  <w:tcW w:w="1598" w:type="dxa"/>
                  <w:shd w:val="clear" w:color="auto" w:fill="auto"/>
                </w:tcPr>
                <w:p w14:paraId="359DD2B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2A9F03B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C71C5EC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1435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43C2DB4F" w14:textId="77777777" w:rsidR="00FE2CDD" w:rsidRPr="00DE7CB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256437BF" w14:textId="77777777" w:rsidR="00FE2CDD" w:rsidRPr="00A34E2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0BB7042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2:090301:2052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1CE4D9A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83B435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1A535FC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15087E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3F3C508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DA9606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7 504 329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1BA6761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71CD02C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76B2351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130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5436B3AA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976769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866FB24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6 003 463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5" w:type="dxa"/>
                </w:tcPr>
                <w:p w14:paraId="61BD5F4E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8FE1B43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768B0B6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64FE1A6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972703" w14:paraId="118E1BE1" w14:textId="77777777" w:rsidTr="00FE2CDD">
              <w:trPr>
                <w:cantSplit/>
                <w:trHeight w:val="2286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14854CF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3EEA5613" w14:textId="77777777" w:rsidR="00FE2CDD" w:rsidRPr="00FE3966" w:rsidRDefault="00FE2CDD" w:rsidP="00D47D4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14:paraId="3EF4FEAE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57DB22A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0CCCC7B8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Татарстан, </w:t>
                  </w:r>
                </w:p>
                <w:p w14:paraId="2716A507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10Б</w:t>
                  </w:r>
                </w:p>
                <w:p w14:paraId="2AC5C673" w14:textId="77777777" w:rsidR="00FE2CDD" w:rsidRPr="00FE3966" w:rsidRDefault="00FE2CDD" w:rsidP="00D47D4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05AF981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3D228788" w14:textId="77777777" w:rsidR="00FE2CDD" w:rsidRPr="00D326EA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3.5.1 – дошкольное, начальное и среднее общее образование</w:t>
                  </w:r>
                  <w:r w:rsidRPr="00D326E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70B632B0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8C380B4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F2D291F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2413</w:t>
                  </w:r>
                </w:p>
              </w:tc>
              <w:tc>
                <w:tcPr>
                  <w:tcW w:w="1598" w:type="dxa"/>
                  <w:shd w:val="clear" w:color="auto" w:fill="auto"/>
                </w:tcPr>
                <w:p w14:paraId="228F58C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04DFEA5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B2EE1CB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2413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509931A4" w14:textId="77777777" w:rsidR="00FE2CDD" w:rsidRPr="00DE7CB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20123506" w14:textId="77777777" w:rsidR="00FE2CDD" w:rsidRPr="00A34E2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588F5DA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060304:4245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24CA1C3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0E6692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25D5A5B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26036B0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01EF1C7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E2E3216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5 858 900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D446B2E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4D0A0D9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2B77634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175 767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33E8CC6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1AB4046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CDAE0D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4 687 120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5" w:type="dxa"/>
                </w:tcPr>
                <w:p w14:paraId="4A9ADC6C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20701D1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1DD6C97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369BC981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972703" w14:paraId="5F4A3A9C" w14:textId="77777777" w:rsidTr="00FE2CD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3D03B31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367B7FF9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3AE93DA3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 xml:space="preserve">Республика </w:t>
                  </w:r>
                  <w:proofErr w:type="gramStart"/>
                  <w:r w:rsidRPr="00E1200A">
                    <w:rPr>
                      <w:sz w:val="20"/>
                      <w:szCs w:val="20"/>
                    </w:rPr>
                    <w:t>Татарстан,</w:t>
                  </w:r>
                  <w:r>
                    <w:rPr>
                      <w:sz w:val="20"/>
                      <w:szCs w:val="20"/>
                    </w:rPr>
                    <w:t xml:space="preserve">  Городской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округ город Набережные Челны,</w:t>
                  </w:r>
                </w:p>
                <w:p w14:paraId="20EE6950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</w:t>
                  </w:r>
                </w:p>
                <w:p w14:paraId="754AE66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</w:p>
                <w:p w14:paraId="5575A3B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Производственный проезд, </w:t>
                  </w:r>
                </w:p>
                <w:p w14:paraId="1D1629B4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64A94C9" w14:textId="77777777" w:rsidR="00FE2CDD" w:rsidRPr="00D326EA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263ADE47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6E1BFD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349CB8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12000</w:t>
                  </w:r>
                </w:p>
              </w:tc>
              <w:tc>
                <w:tcPr>
                  <w:tcW w:w="1598" w:type="dxa"/>
                  <w:shd w:val="clear" w:color="auto" w:fill="auto"/>
                </w:tcPr>
                <w:p w14:paraId="1F6CF039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1488915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6BFC451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108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12000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45DB4186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2800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076D9351" w14:textId="77777777" w:rsidR="00FE2CDD" w:rsidRPr="00A34E2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1B9318B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090104:556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8AE4DEF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1F0724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05D37A8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32CF968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F68C84C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D8EA51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10 151 30</w:t>
                  </w:r>
                  <w:r w:rsidRPr="00522093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9A2160C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347E10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D4EC07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304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539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56F9592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C9D163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72AA83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8 121 040,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55" w:type="dxa"/>
                </w:tcPr>
                <w:p w14:paraId="330464FE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AA3326C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1D24461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2A9633B4" w14:textId="77777777" w:rsidR="00FE2CDD" w:rsidRPr="0052209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846465" w14:paraId="0BB2E16E" w14:textId="77777777" w:rsidTr="00FE2CD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B751AE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3CC56657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BF3E12F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5612B026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25FC872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</w:p>
                <w:p w14:paraId="63DAE6B2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Хлебный проезд,  </w:t>
                  </w:r>
                </w:p>
                <w:p w14:paraId="5FD12596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26</w:t>
                  </w:r>
                </w:p>
                <w:p w14:paraId="759BCD0C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516323A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6.4 – пищевая промышленность</w:t>
                  </w:r>
                </w:p>
                <w:p w14:paraId="6F91D86C" w14:textId="77777777" w:rsidR="00FE2CDD" w:rsidRPr="00D326EA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4928A317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7058CF0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AFC9605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7340</w:t>
                  </w:r>
                </w:p>
              </w:tc>
              <w:tc>
                <w:tcPr>
                  <w:tcW w:w="1598" w:type="dxa"/>
                  <w:shd w:val="clear" w:color="auto" w:fill="auto"/>
                </w:tcPr>
                <w:p w14:paraId="77143EE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EBE960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08DC66F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471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, 4824</w:t>
                  </w:r>
                  <w:r w:rsidRPr="003715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15E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6A0265E4" w14:textId="77777777" w:rsidR="00FE2CDD" w:rsidRPr="003715EB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7340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790BC64C" w14:textId="77777777" w:rsidR="00FE2CDD" w:rsidRPr="00A34E2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3C35615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090101:1119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7CA42DE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73ECF4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B563038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84BD9E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36B382E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571820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32 414</w:t>
                  </w:r>
                  <w:r w:rsidRPr="006166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222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F454E2D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D50A4A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F8689E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972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427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5FD21D8F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C4EA14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54CB73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25 931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378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5" w:type="dxa"/>
                </w:tcPr>
                <w:p w14:paraId="430DA782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DE010EC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7F620C1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585338B2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846465" w14:paraId="56660B34" w14:textId="77777777" w:rsidTr="00FE2CD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87EE77D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67839EE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3F739407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5002AC68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119CDFC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город  Набережные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Челны, улица Машиностроительная,  </w:t>
                  </w:r>
                </w:p>
                <w:p w14:paraId="4A41D8DE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20</w:t>
                  </w:r>
                </w:p>
                <w:p w14:paraId="5B2994FD" w14:textId="77777777" w:rsidR="00FE2CDD" w:rsidRPr="00D26673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5458DAB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</w:t>
                  </w:r>
                </w:p>
                <w:p w14:paraId="3858B835" w14:textId="77777777" w:rsidR="00FE2CDD" w:rsidRPr="00D326EA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14:paraId="3E9F8FFD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63A25F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58D89A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1560</w:t>
                  </w:r>
                </w:p>
              </w:tc>
              <w:tc>
                <w:tcPr>
                  <w:tcW w:w="1598" w:type="dxa"/>
                  <w:shd w:val="clear" w:color="auto" w:fill="auto"/>
                </w:tcPr>
                <w:p w14:paraId="0A7A475E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0109633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675EED14" w14:textId="77777777" w:rsidR="00FE2CDD" w:rsidRPr="003715EB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1560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3FBA0E34" w14:textId="77777777" w:rsidR="00FE2CDD" w:rsidRPr="00A34E2E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FBFB6FB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</w:t>
                  </w:r>
                  <w:r>
                    <w:rPr>
                      <w:sz w:val="20"/>
                      <w:szCs w:val="20"/>
                    </w:rPr>
                    <w:t>:040304:1795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8DBB012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FE8A29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06074F1E" w14:textId="77777777" w:rsidR="00FE2CDD" w:rsidRPr="00D26673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172EE10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23D68C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6EA8091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3 124</w:t>
                  </w:r>
                  <w:r w:rsidRPr="006166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460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D530E00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4CC8E0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C32008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734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7AB08089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03FF95C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4E265A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2 499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568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5" w:type="dxa"/>
                </w:tcPr>
                <w:p w14:paraId="7E21FBB2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8C1D3EC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EEBF31B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7CDA1BB6" w14:textId="77777777" w:rsidR="00FE2CDD" w:rsidRPr="006166AC" w:rsidRDefault="00FE2CDD" w:rsidP="00D47D43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C8ADEC" w14:textId="77777777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64C4FD04" w14:textId="594EA09D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tbl>
            <w:tblPr>
              <w:tblpPr w:leftFromText="180" w:rightFromText="180" w:horzAnchor="margin" w:tblpY="555"/>
              <w:tblW w:w="15615" w:type="dxa"/>
              <w:tblLayout w:type="fixed"/>
              <w:tblLook w:val="01E0" w:firstRow="1" w:lastRow="1" w:firstColumn="1" w:lastColumn="1" w:noHBand="0" w:noVBand="0"/>
            </w:tblPr>
            <w:tblGrid>
              <w:gridCol w:w="15615"/>
            </w:tblGrid>
            <w:tr w:rsidR="00CD30C8" w:rsidRPr="00C46620" w14:paraId="14548EF1" w14:textId="77777777" w:rsidTr="00AD790C">
              <w:trPr>
                <w:trHeight w:val="846"/>
              </w:trPr>
              <w:tc>
                <w:tcPr>
                  <w:tcW w:w="14253" w:type="dxa"/>
                  <w:vAlign w:val="center"/>
                </w:tcPr>
                <w:p w14:paraId="242E03CD" w14:textId="650D1B64" w:rsidR="00CD30C8" w:rsidRPr="00C46620" w:rsidRDefault="00CD30C8" w:rsidP="00CD30C8">
                  <w:pPr>
                    <w:keepNext/>
                    <w:keepLines/>
                    <w:autoSpaceDE w:val="0"/>
                    <w:autoSpaceDN w:val="0"/>
                    <w:adjustRightInd w:val="0"/>
                    <w:ind w:right="477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/>
                      <w:bCs/>
                      <w:sz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22"/>
                      <w:lang w:eastAsia="en-US"/>
                    </w:rPr>
                    <w:lastRenderedPageBreak/>
                    <w:t xml:space="preserve">2.2 </w:t>
                  </w:r>
                  <w:r w:rsidRPr="00C46620">
                    <w:rPr>
                      <w:rFonts w:eastAsia="Calibri"/>
                      <w:b/>
                      <w:bCs/>
                      <w:sz w:val="22"/>
                      <w:lang w:eastAsia="en-US"/>
                    </w:rPr>
                    <w:t xml:space="preserve">Права на земельный участок: </w:t>
                  </w:r>
                  <w:r>
                    <w:rPr>
                      <w:rFonts w:eastAsia="Calibri"/>
                      <w:bCs/>
                      <w:sz w:val="22"/>
                      <w:lang w:eastAsia="en-US"/>
                    </w:rPr>
                    <w:t xml:space="preserve">Согласно сведениям </w:t>
                  </w:r>
                  <w:r w:rsidRPr="00C46620">
                    <w:rPr>
                      <w:rFonts w:eastAsia="Calibri"/>
                      <w:bCs/>
                      <w:sz w:val="22"/>
                      <w:lang w:eastAsia="en-US"/>
                    </w:rPr>
                    <w:t>из Единого государственного реестра недвижимости об объект</w:t>
                  </w:r>
                  <w:r>
                    <w:rPr>
                      <w:rFonts w:eastAsia="Calibri"/>
                      <w:bCs/>
                      <w:sz w:val="22"/>
                      <w:lang w:eastAsia="en-US"/>
                    </w:rPr>
                    <w:t>ах</w:t>
                  </w:r>
                  <w:r w:rsidRPr="00C46620">
                    <w:rPr>
                      <w:rFonts w:eastAsia="Calibri"/>
                      <w:bCs/>
                      <w:sz w:val="22"/>
                      <w:lang w:eastAsia="en-US"/>
                    </w:rPr>
                    <w:t xml:space="preserve"> недвижимости: </w:t>
                  </w:r>
                  <w:r>
                    <w:rPr>
                      <w:rFonts w:eastAsia="Calibri"/>
                      <w:bCs/>
                      <w:sz w:val="22"/>
                      <w:lang w:eastAsia="en-US"/>
                    </w:rPr>
                    <w:t>на земельные  участки</w:t>
                  </w:r>
                  <w:r w:rsidRPr="00C46620">
                    <w:rPr>
                      <w:rFonts w:eastAsia="Calibri"/>
                      <w:bCs/>
                      <w:sz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bCs/>
                      <w:sz w:val="22"/>
                      <w:lang w:eastAsia="en-US"/>
                    </w:rPr>
                    <w:t>права не зарегистрированы, государственная собственность не разграничена.</w:t>
                  </w:r>
                </w:p>
              </w:tc>
            </w:tr>
            <w:tr w:rsidR="00CD30C8" w:rsidRPr="00D66736" w14:paraId="6E109273" w14:textId="77777777" w:rsidTr="00AD790C">
              <w:trPr>
                <w:trHeight w:val="70"/>
              </w:trPr>
              <w:tc>
                <w:tcPr>
                  <w:tcW w:w="14253" w:type="dxa"/>
                  <w:vAlign w:val="center"/>
                </w:tcPr>
                <w:p w14:paraId="0AFC6143" w14:textId="091E2027" w:rsidR="00CD30C8" w:rsidRDefault="00CD30C8" w:rsidP="00CD30C8">
                  <w:pPr>
                    <w:tabs>
                      <w:tab w:val="left" w:pos="6840"/>
                      <w:tab w:val="left" w:pos="7740"/>
                    </w:tabs>
                    <w:ind w:right="477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3"/>
                    </w:rPr>
                    <w:t xml:space="preserve">2.3 </w:t>
                  </w:r>
                  <w:r w:rsidRPr="00AD1F17">
                    <w:rPr>
                      <w:b/>
                      <w:sz w:val="22"/>
                      <w:szCs w:val="23"/>
                    </w:rPr>
                    <w:t>Параметры разрешенного строительства объекта капитального строительства:</w:t>
                  </w:r>
                  <w:r w:rsidRPr="00C46620">
                    <w:rPr>
                      <w:sz w:val="22"/>
                      <w:szCs w:val="22"/>
                    </w:rPr>
                    <w:t xml:space="preserve"> </w:t>
                  </w:r>
                  <w:r w:rsidRPr="005715BD">
                    <w:rPr>
                      <w:sz w:val="22"/>
                      <w:szCs w:val="22"/>
                    </w:rPr>
                    <w:t xml:space="preserve">  </w:t>
                  </w:r>
                </w:p>
                <w:p w14:paraId="0F2BF32D" w14:textId="77777777" w:rsidR="00CD30C8" w:rsidRPr="005715BD" w:rsidRDefault="00CD30C8" w:rsidP="00CD30C8">
                  <w:pPr>
                    <w:tabs>
                      <w:tab w:val="left" w:pos="6840"/>
                      <w:tab w:val="left" w:pos="7740"/>
                    </w:tabs>
                    <w:ind w:right="477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241CC2CA" w14:textId="77777777" w:rsidR="00CD30C8" w:rsidRPr="005715BD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7E69971F" w14:textId="77777777" w:rsidR="00CD30C8" w:rsidRPr="005715BD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14:paraId="33D77500" w14:textId="77777777" w:rsidR="00CD30C8" w:rsidRPr="005715BD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BB05AD6" w14:textId="77777777" w:rsidR="00CD30C8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6799BBC6" w14:textId="77777777" w:rsidR="00CD30C8" w:rsidRPr="005715BD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 (для зоны Ц-6);</w:t>
                  </w:r>
                </w:p>
                <w:p w14:paraId="0FC59AD6" w14:textId="77777777" w:rsidR="00CD30C8" w:rsidRPr="005715BD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зоны ПК-3).</w:t>
                  </w:r>
                </w:p>
                <w:p w14:paraId="2AD1B98B" w14:textId="77777777" w:rsidR="00CD30C8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  <w:p w14:paraId="4AC7CD02" w14:textId="77777777" w:rsidR="00CD30C8" w:rsidRPr="00D66736" w:rsidRDefault="00CD30C8" w:rsidP="00CD30C8">
                  <w:pPr>
                    <w:ind w:right="477" w:firstLine="567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749E3F" w14:textId="77777777" w:rsidR="00CD30C8" w:rsidRPr="00A025DC" w:rsidRDefault="00CD30C8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742B6AD3" w14:textId="77777777" w:rsidR="00FE2CDD" w:rsidRDefault="00FE2CDD" w:rsidP="00FE2CDD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555CBF63" w14:textId="1C478AEA" w:rsidR="00FE2CDD" w:rsidRDefault="00CD30C8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  <w:r w:rsidR="00FE2CDD">
              <w:rPr>
                <w:sz w:val="28"/>
                <w:szCs w:val="28"/>
              </w:rPr>
              <w:t xml:space="preserve">Информация о возможности </w:t>
            </w:r>
            <w:r w:rsidR="00FE2CDD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FE2CDD">
              <w:rPr>
                <w:sz w:val="28"/>
                <w:szCs w:val="28"/>
              </w:rPr>
              <w:t>ов</w:t>
            </w:r>
            <w:r w:rsidR="00FE2CDD" w:rsidRPr="00DA3A24">
              <w:rPr>
                <w:sz w:val="28"/>
                <w:szCs w:val="28"/>
              </w:rPr>
              <w:t xml:space="preserve"> </w:t>
            </w:r>
            <w:r w:rsidR="00FE2CDD">
              <w:rPr>
                <w:sz w:val="28"/>
                <w:szCs w:val="28"/>
              </w:rPr>
              <w:t xml:space="preserve">капитального строительства </w:t>
            </w:r>
            <w:r w:rsidR="00FE2CDD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6227289B" w14:textId="77777777" w:rsidR="00FE2CDD" w:rsidRPr="000C7957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75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015"/>
            </w:tblGrid>
            <w:tr w:rsidR="00FE2CDD" w:rsidRPr="0066480F" w14:paraId="5687AB4F" w14:textId="77777777" w:rsidTr="00FE2CDD">
              <w:tc>
                <w:tcPr>
                  <w:tcW w:w="540" w:type="dxa"/>
                  <w:vMerge w:val="restart"/>
                  <w:shd w:val="clear" w:color="auto" w:fill="auto"/>
                </w:tcPr>
                <w:p w14:paraId="134DB4E1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720C4CD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2F2AB4A1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4605B42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4F99B37D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FE2CDD" w:rsidRPr="0066480F" w14:paraId="5B712473" w14:textId="77777777" w:rsidTr="00FE2CDD">
              <w:tc>
                <w:tcPr>
                  <w:tcW w:w="540" w:type="dxa"/>
                  <w:vMerge/>
                  <w:shd w:val="clear" w:color="auto" w:fill="auto"/>
                </w:tcPr>
                <w:p w14:paraId="2DC3DAEE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4DB29F26" w14:textId="77777777" w:rsidR="00FE2CDD" w:rsidRPr="0066480F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5890419B" w14:textId="77777777" w:rsidR="00FE2CDD" w:rsidRPr="00392C5C" w:rsidRDefault="00FE2CDD" w:rsidP="00D47D43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3131B81E" w14:textId="77777777" w:rsidR="00FE2CDD" w:rsidRPr="0066480F" w:rsidRDefault="00FE2CDD" w:rsidP="00D47D43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FE2CDD" w:rsidRPr="0066480F" w14:paraId="2C27869B" w14:textId="77777777" w:rsidTr="00FE2CDD">
              <w:tc>
                <w:tcPr>
                  <w:tcW w:w="540" w:type="dxa"/>
                  <w:shd w:val="clear" w:color="auto" w:fill="auto"/>
                </w:tcPr>
                <w:p w14:paraId="1E90298B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B96843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85A760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16:52:090301:2052</w:t>
                  </w:r>
                </w:p>
                <w:p w14:paraId="416F2B7C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60E4036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4.9.1.4 – ремонт автомобилей; </w:t>
                  </w:r>
                </w:p>
                <w:p w14:paraId="2663213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r w:rsidRPr="00605198">
                    <w:rPr>
                      <w:sz w:val="20"/>
                      <w:szCs w:val="20"/>
                    </w:rPr>
                    <w:t xml:space="preserve">ородской  </w:t>
                  </w:r>
                  <w:r>
                    <w:rPr>
                      <w:sz w:val="20"/>
                      <w:szCs w:val="20"/>
                    </w:rPr>
                    <w:t>округ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город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проспект Казанский,  </w:t>
                  </w:r>
                </w:p>
                <w:p w14:paraId="43FF226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260А;</w:t>
                  </w:r>
                </w:p>
                <w:p w14:paraId="2DD7FCA6" w14:textId="77777777" w:rsidR="00FE2CDD" w:rsidRPr="00B96911" w:rsidRDefault="00FE2CDD" w:rsidP="00D47D4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1435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5204325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Д110мм,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Умат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Гирея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 районе КНС 3.</w:t>
                  </w:r>
                </w:p>
                <w:p w14:paraId="060CED42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14:paraId="38F6BDCA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CDBCCCA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74C5C7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07.11.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17-7386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57851208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2711A8F4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30.10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B8B6FA1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НчТС-102-03/2742 «О предоставлении информации».</w:t>
                  </w:r>
                </w:p>
                <w:p w14:paraId="5F466F45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66480F" w14:paraId="2D74A3D8" w14:textId="77777777" w:rsidTr="00FE2CDD">
              <w:tc>
                <w:tcPr>
                  <w:tcW w:w="540" w:type="dxa"/>
                  <w:shd w:val="clear" w:color="auto" w:fill="auto"/>
                </w:tcPr>
                <w:p w14:paraId="0363A84D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213C4A1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0F3566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16:52:060304:4245</w:t>
                  </w:r>
                </w:p>
                <w:p w14:paraId="3247A06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0E0DB6C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3.5.1 – дошкольное, начальное и среднее общее образование; </w:t>
                  </w:r>
                </w:p>
                <w:p w14:paraId="4D4E6F76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г</w:t>
                  </w:r>
                  <w:r w:rsidRPr="00605198">
                    <w:rPr>
                      <w:sz w:val="20"/>
                      <w:szCs w:val="20"/>
                    </w:rPr>
                    <w:t xml:space="preserve">ородской  </w:t>
                  </w:r>
                  <w:r>
                    <w:rPr>
                      <w:sz w:val="20"/>
                      <w:szCs w:val="20"/>
                    </w:rPr>
                    <w:t>округ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город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516E8AB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 </w:t>
                  </w:r>
                </w:p>
                <w:p w14:paraId="6AE8D58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улица Татарстан,  </w:t>
                  </w:r>
                </w:p>
                <w:p w14:paraId="01540A4A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10Б;</w:t>
                  </w:r>
                </w:p>
                <w:p w14:paraId="101B6A90" w14:textId="77777777" w:rsidR="00FE2CDD" w:rsidRPr="00B96911" w:rsidRDefault="00FE2CDD" w:rsidP="00D47D43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2413кв.м</w:t>
                  </w:r>
                </w:p>
              </w:tc>
              <w:tc>
                <w:tcPr>
                  <w:tcW w:w="7315" w:type="dxa"/>
                  <w:shd w:val="clear" w:color="auto" w:fill="auto"/>
                </w:tcPr>
                <w:p w14:paraId="06D3DA3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Имеется техническая возможность подключения к сетям: питьевой воды Ду200мм вдоль 25/21; хоз. бытовой канализации Д300 мм вдоль 25/13.</w:t>
                  </w:r>
                </w:p>
                <w:p w14:paraId="0866AB3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5C3F0A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начала производства работ выполнить вынос участка существующего водопровода 2Д110мм,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63мм и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300мм попадающего в зону строительства.</w:t>
                  </w:r>
                </w:p>
                <w:p w14:paraId="28F5172B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5D86A79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lastRenderedPageBreak/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11D7EC9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Возможность подключения к тепловым сетям имеется.</w:t>
                  </w:r>
                </w:p>
                <w:p w14:paraId="239C91E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8955EF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25684D9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66480F" w14:paraId="75F0F66D" w14:textId="77777777" w:rsidTr="00FE2CDD">
              <w:tc>
                <w:tcPr>
                  <w:tcW w:w="540" w:type="dxa"/>
                  <w:shd w:val="clear" w:color="auto" w:fill="auto"/>
                </w:tcPr>
                <w:p w14:paraId="6EBE6C15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A4560E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2A47BA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16:52:090104:556;</w:t>
                  </w:r>
                </w:p>
                <w:p w14:paraId="2B29874C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338345D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4E3DD81C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</w:p>
                <w:p w14:paraId="35987B9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Промышленно-коммунальная зона города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5CB473F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Производственный проезд, земельный участок 16А;</w:t>
                  </w:r>
                </w:p>
                <w:p w14:paraId="5279167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A6010F4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Имеется техническая возможность подключения к сетям: питьевой воды Ду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986FE2">
                    <w:rPr>
                      <w:sz w:val="20"/>
                      <w:szCs w:val="20"/>
                    </w:rPr>
                    <w:t xml:space="preserve">0мм,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Производственного проезда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Ду5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Производственного проезда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227710D2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4CCD1A43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73754B3D" w14:textId="77777777" w:rsidR="00FE2CDD" w:rsidRPr="00986FE2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75D44743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06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03</w:t>
                  </w:r>
                  <w:r w:rsidRPr="00986FE2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986FE2">
                    <w:rPr>
                      <w:sz w:val="20"/>
                      <w:szCs w:val="20"/>
                    </w:rPr>
                    <w:t xml:space="preserve"> № 92-137-17-</w:t>
                  </w:r>
                  <w:r>
                    <w:rPr>
                      <w:sz w:val="20"/>
                      <w:szCs w:val="20"/>
                    </w:rPr>
                    <w:t>1455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6BBEC8F4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11301CF9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DD4385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НчТС-102-03/553 «О предоставлении информации».</w:t>
                  </w:r>
                </w:p>
                <w:p w14:paraId="5181A703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66480F" w14:paraId="47CA8DF0" w14:textId="77777777" w:rsidTr="00FE2CDD">
              <w:tc>
                <w:tcPr>
                  <w:tcW w:w="540" w:type="dxa"/>
                  <w:shd w:val="clear" w:color="auto" w:fill="auto"/>
                </w:tcPr>
                <w:p w14:paraId="382AB9B8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A23A71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4CD7EF0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16:52:090101:1119</w:t>
                  </w:r>
                </w:p>
                <w:p w14:paraId="7A8B7A67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3E3AA9E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6.4 – пищевая промышленность; </w:t>
                  </w:r>
                </w:p>
                <w:p w14:paraId="60154A23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Хлебный проезд,  </w:t>
                  </w:r>
                </w:p>
                <w:p w14:paraId="2BC9F948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26;</w:t>
                  </w:r>
                </w:p>
                <w:p w14:paraId="7E6D0D74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7340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8AA143A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986FE2">
                    <w:rPr>
                      <w:sz w:val="20"/>
                      <w:szCs w:val="20"/>
                    </w:rPr>
                    <w:t xml:space="preserve">0мм,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пр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Хлебный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Ду9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пр. Хлебный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6FD6BCED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1C1AB15B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4712C135" w14:textId="77777777" w:rsidR="00FE2CDD" w:rsidRPr="00986FE2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58ADD3B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06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08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5101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2B55E525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19448593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4C516A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480375C9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66480F" w14:paraId="03210280" w14:textId="77777777" w:rsidTr="00FE2CDD">
              <w:tc>
                <w:tcPr>
                  <w:tcW w:w="540" w:type="dxa"/>
                  <w:shd w:val="clear" w:color="auto" w:fill="auto"/>
                </w:tcPr>
                <w:p w14:paraId="40B41BEF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8A0814E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08D733E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16:52:040304:1795</w:t>
                  </w:r>
                </w:p>
                <w:p w14:paraId="6D8AC632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FE26099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4.1 – деловое управление; </w:t>
                  </w:r>
                </w:p>
                <w:p w14:paraId="2AA0D847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7795D7A8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улица Машиностроительная,  </w:t>
                  </w:r>
                </w:p>
                <w:p w14:paraId="4A7F4D41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20;</w:t>
                  </w:r>
                </w:p>
                <w:p w14:paraId="10C38EF5" w14:textId="77777777" w:rsidR="00FE2CDD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9500666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Имеется техническая возможность подклю</w:t>
                  </w:r>
                  <w:r>
                    <w:rPr>
                      <w:sz w:val="20"/>
                      <w:szCs w:val="20"/>
                    </w:rPr>
                    <w:t>чения к сетям: питьевой воды Ду100</w:t>
                  </w:r>
                  <w:r w:rsidRPr="00986FE2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86FE2">
                    <w:rPr>
                      <w:sz w:val="20"/>
                      <w:szCs w:val="20"/>
                    </w:rPr>
                    <w:t xml:space="preserve">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Ахметшина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Ду24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Ахметшина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4E125623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307F69D0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МУП ПАД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230B1606" w14:textId="77777777" w:rsidR="00FE2CDD" w:rsidRPr="00986FE2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7B58A643" w14:textId="77777777" w:rsidR="00FE2CDD" w:rsidRPr="00986FE2" w:rsidRDefault="00FE2CDD" w:rsidP="00D47D43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5811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14:paraId="12EF607D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455508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7FF694A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7C772DB2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E2CDD" w:rsidRPr="0066480F" w14:paraId="489CFD10" w14:textId="77777777" w:rsidTr="00FE2CDD">
              <w:tc>
                <w:tcPr>
                  <w:tcW w:w="13750" w:type="dxa"/>
                  <w:gridSpan w:val="4"/>
                  <w:shd w:val="clear" w:color="auto" w:fill="auto"/>
                </w:tcPr>
                <w:p w14:paraId="24698D4B" w14:textId="77777777" w:rsidR="00FE2CDD" w:rsidRPr="005715B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005E30D9" w14:textId="77777777" w:rsidR="00FE2CDD" w:rsidRPr="005715BD" w:rsidRDefault="00FE2CDD" w:rsidP="00D47D43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</w:t>
                  </w:r>
                  <w:r w:rsidRPr="005715BD">
                    <w:rPr>
                      <w:sz w:val="22"/>
                      <w:szCs w:val="22"/>
                    </w:rPr>
                    <w:lastRenderedPageBreak/>
                    <w:t>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38849A99" w14:textId="77777777" w:rsidR="00FE2CDD" w:rsidRPr="005715BD" w:rsidRDefault="00FE2CDD" w:rsidP="00D47D43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522BA80A" w14:textId="77777777" w:rsidR="00FE2CDD" w:rsidRPr="005715BD" w:rsidRDefault="00FE2CDD" w:rsidP="00D47D43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FDA624B" w14:textId="77777777" w:rsidR="00FE2CDD" w:rsidRDefault="00FE2CDD" w:rsidP="00D47D43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27F9CF35" w14:textId="77777777" w:rsidR="00FE2CDD" w:rsidRPr="005715BD" w:rsidRDefault="00FE2CDD" w:rsidP="00D47D43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50 процентов (для лотов 1, 2, 5), 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лотов 3, 4).</w:t>
                  </w:r>
                </w:p>
                <w:p w14:paraId="358EF6C0" w14:textId="77777777" w:rsidR="00FE2CDD" w:rsidRDefault="00FE2CDD" w:rsidP="00D47D43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49A53C6F" w14:textId="77777777" w:rsidR="00FE2CDD" w:rsidRPr="00A204C9" w:rsidRDefault="00FE2CDD" w:rsidP="00FE2CDD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lastRenderedPageBreak/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30C3E32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BAF621" w14:textId="77777777" w:rsidR="00FE2CDD" w:rsidRPr="00A204C9" w:rsidRDefault="00FE2CDD" w:rsidP="00FE2CDD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0A813465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0C505438" w:rsidR="00424950" w:rsidRPr="00AB1CF2" w:rsidRDefault="00424950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661D1164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D1CAC">
              <w:rPr>
                <w:b/>
                <w:i/>
                <w:sz w:val="22"/>
                <w:u w:val="single"/>
              </w:rPr>
              <w:t>29 апреля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7A5419">
              <w:rPr>
                <w:b/>
                <w:i/>
                <w:sz w:val="22"/>
                <w:u w:val="single"/>
              </w:rPr>
              <w:t>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>
              <w:rPr>
                <w:b/>
                <w:i/>
                <w:sz w:val="22"/>
                <w:u w:val="single"/>
              </w:rPr>
              <w:t xml:space="preserve">08:00 </w:t>
            </w:r>
            <w:r w:rsidRPr="00AA7C7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7E5212E4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lastRenderedPageBreak/>
              <w:t xml:space="preserve">Дата и время окончания приема заявок: </w:t>
            </w:r>
            <w:r w:rsidR="001D1CAC">
              <w:rPr>
                <w:b/>
                <w:i/>
                <w:sz w:val="22"/>
                <w:u w:val="single"/>
              </w:rPr>
              <w:t>16 мая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1DA6D9C7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DB493D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19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82C8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51213021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B493D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82C8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  <w:bookmarkStart w:id="4" w:name="_GoBack"/>
            <w:bookmarkEnd w:id="4"/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47896"/>
    <w:rsid w:val="000637DF"/>
    <w:rsid w:val="00076439"/>
    <w:rsid w:val="000926C7"/>
    <w:rsid w:val="000A2A85"/>
    <w:rsid w:val="000A3370"/>
    <w:rsid w:val="000A56F2"/>
    <w:rsid w:val="000A6133"/>
    <w:rsid w:val="000C10B4"/>
    <w:rsid w:val="000D216E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236E"/>
    <w:rsid w:val="001853E7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4D57B2"/>
    <w:rsid w:val="0052616A"/>
    <w:rsid w:val="00545D1A"/>
    <w:rsid w:val="00546818"/>
    <w:rsid w:val="00560E2B"/>
    <w:rsid w:val="00575BBB"/>
    <w:rsid w:val="005A517C"/>
    <w:rsid w:val="005A737E"/>
    <w:rsid w:val="005C53B4"/>
    <w:rsid w:val="005E05B5"/>
    <w:rsid w:val="005E7F6D"/>
    <w:rsid w:val="00604E08"/>
    <w:rsid w:val="00606B55"/>
    <w:rsid w:val="0060752A"/>
    <w:rsid w:val="00612798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643B4"/>
    <w:rsid w:val="00783DC9"/>
    <w:rsid w:val="007A49FD"/>
    <w:rsid w:val="007A5419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3E3D"/>
    <w:rsid w:val="00917810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D4F01"/>
    <w:rsid w:val="009E7BDF"/>
    <w:rsid w:val="009F10FB"/>
    <w:rsid w:val="00A058D9"/>
    <w:rsid w:val="00A1486A"/>
    <w:rsid w:val="00A359D0"/>
    <w:rsid w:val="00A42AB9"/>
    <w:rsid w:val="00A55EA4"/>
    <w:rsid w:val="00A6791C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D1565"/>
    <w:rsid w:val="00CD1800"/>
    <w:rsid w:val="00CD30C8"/>
    <w:rsid w:val="00CF32F8"/>
    <w:rsid w:val="00D16F6D"/>
    <w:rsid w:val="00D35181"/>
    <w:rsid w:val="00D47A29"/>
    <w:rsid w:val="00D47D43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731DF"/>
    <w:rsid w:val="00E74892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139</cp:revision>
  <cp:lastPrinted>2024-07-16T07:30:00Z</cp:lastPrinted>
  <dcterms:created xsi:type="dcterms:W3CDTF">2024-07-16T07:01:00Z</dcterms:created>
  <dcterms:modified xsi:type="dcterms:W3CDTF">2025-04-28T09:55:00Z</dcterms:modified>
</cp:coreProperties>
</file>