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Актуальные меры поддержки по линии Министерства промышленности и торговли Республики Татарстан и Министерства промышленности и торговли Российской Федерации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e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0"/>
        <w:gridCol w:w="6608"/>
      </w:tblGrid>
      <w:tr>
        <w:trPr>
          <w:trHeight w:val="836" w:hRule="atLeast"/>
        </w:trPr>
        <w:tc>
          <w:tcPr>
            <w:tcW w:w="34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Наименование поддержки</w:t>
            </w:r>
          </w:p>
        </w:tc>
        <w:tc>
          <w:tcPr>
            <w:tcW w:w="6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Условия предоставления</w:t>
            </w:r>
          </w:p>
        </w:tc>
      </w:tr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Субсидия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(ПКМ РТ от 27.09.2023 №1187)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Субсидия предоставляется в размере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более 80 %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фактически понесенных получателем субсидии затрат на уплату первого взноса (аванса) при заключении договора (договоров) лизинга российского оборудования в соответствии с ППРФ от 17.09.2015 №719 и в сумме,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превышающей 20 млн. рублей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на получателя субсидии, и (или) в сумме,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превышающей 50 % стоимости оборудования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19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Субсидия на возмещение части затрат промышленных предприятий, связанных с приобретением нового оборудования (ПКМ РТ от 27.09.2023 №1188)</w:t>
            </w:r>
          </w:p>
          <w:p>
            <w:pPr>
              <w:pStyle w:val="Normal"/>
              <w:widowControl/>
              <w:tabs>
                <w:tab w:val="clear" w:pos="708"/>
                <w:tab w:val="left" w:pos="219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Субсидия предоставляется в размере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более 50 %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фактически понесенных получателем субсидии затрат на приобретение нового российского оборудования в соответствии с ППРФ от 17.09.2015 №719 и в сумме,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превышающей 20 млн. рублей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на получателя субсидии.</w:t>
            </w:r>
          </w:p>
        </w:tc>
      </w:tr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Субсидия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(ППРФ от 12.12.2019 №1649)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Субсидия предоставляется в размере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 более 70 %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от суммы затрат организаций на проведение научно-исследовательских работ,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возникающих не ранее календарного года получения субсидии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в том числе до заключения соглашения о предоставлении субсидии.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В рамках ППРФ №1649 возмещаются следующие виды затрат:</w:t>
            </w:r>
          </w:p>
          <w:p>
            <w:pPr>
              <w:pStyle w:val="formattext1"/>
              <w:widowControl/>
              <w:numPr>
                <w:ilvl w:val="0"/>
                <w:numId w:val="1"/>
              </w:numPr>
              <w:suppressAutoHyphens w:val="true"/>
              <w:spacing w:before="28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оплату труда работников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непосредственно занятых выполнением научно-исследовательских работ (не более 50 % субсидии);</w:t>
            </w:r>
          </w:p>
          <w:p>
            <w:pPr>
              <w:pStyle w:val="formattext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материальные расходы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непосредственно связанные с выполнением научно-исследовательских работ (не более 70 % субсидии);</w:t>
            </w:r>
          </w:p>
          <w:p>
            <w:pPr>
              <w:pStyle w:val="formattext1"/>
              <w:widowControl/>
              <w:numPr>
                <w:ilvl w:val="0"/>
                <w:numId w:val="1"/>
              </w:numPr>
              <w:suppressAutoHyphens w:val="true"/>
              <w:spacing w:before="0" w:after="28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накладные расходы в размере не более 100 % суммы расходов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(кроме представительских расходов, оплаты проезда к месту отдыха, организации и участия в выставках), связанные с выполнением научно-исследовательских работ (не более 50 %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28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оплату работ (услуг) организаций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привлекаемых для выполнения научно-исследовательских работ (не более 70 %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расходы, связанные с арендой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необходимых для выполнения научно-исследовательских работ (не более 50 %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содержание и эксплуатацию научно-исследовательского оборудования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непосредственно связанных с выполнением научно-исследовательских работ (не более 50 %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государственную регистрацию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в Российской Федерации результатов интеллектуальной деятельности (не более 15 %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производство опытной партии продукции и ее тестирование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, сертификацию и (или) регистрацию в Российской Федерации (не более 50 % субсидии);</w:t>
            </w:r>
          </w:p>
          <w:p>
            <w:pPr>
              <w:pStyle w:val="formattext1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ind w:firstLine="284" w:left="-17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расходы на приобретение изделий сравнения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(не более 50 % субсидии).</w:t>
            </w:r>
          </w:p>
          <w:p>
            <w:pPr>
              <w:pStyle w:val="formattext1"/>
              <w:widowControl/>
              <w:suppressAutoHyphens w:val="true"/>
              <w:spacing w:before="280" w:after="280"/>
              <w:jc w:val="bot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formattext1"/>
              <w:widowControl/>
              <w:suppressAutoHyphens w:val="true"/>
              <w:spacing w:before="280" w:after="280"/>
              <w:jc w:val="both"/>
              <w:rPr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Для участия в конкурсном отборе в рамках ППРФ №1649 необходимо, чтобы технология компании была включена в Перечень современных технологий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e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0"/>
        <w:gridCol w:w="6608"/>
      </w:tblGrid>
      <w:tr>
        <w:trPr>
          <w:trHeight w:val="735" w:hRule="atLeast"/>
        </w:trPr>
        <w:tc>
          <w:tcPr>
            <w:tcW w:w="34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Наименование поддержки</w:t>
            </w:r>
          </w:p>
        </w:tc>
        <w:tc>
          <w:tcPr>
            <w:tcW w:w="6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Условия предоставления</w:t>
            </w:r>
          </w:p>
        </w:tc>
      </w:tr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Льготное заемное финансирование Фонда развития промышленности</w:t>
            </w:r>
          </w:p>
        </w:tc>
        <w:tc>
          <w:tcPr>
            <w:tcW w:w="6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Для реализации новых промышленных проектов ФРП предоставляет целевые займы по ставке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от 3 % до 7 %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годовых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сроком до 7 лет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в объёме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от 5 млн. рублей до 5 млрд. рублей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(в зависимости от программы).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Софинансирование проектов, направленных на: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разработку новой высокотехнологичной продукции;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импортозамещение;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лизинг производственного оборудования;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станкостроение;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цифровизацию действующих производств;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выпуск предприятиями оборонно-промышленного комплекса высокотехнологичной продукции гражданского или двойного назначения;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производство комплектующих изделий;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маркировку товаров;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увеличение производительности труда.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Средства предоставляются только на покупку оборудования.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Необходимо получение Банковской гарантии на сумму займа и проценты по платежам.</w:t>
            </w:r>
          </w:p>
        </w:tc>
      </w:tr>
      <w:tr>
        <w:trPr/>
        <w:tc>
          <w:tcPr>
            <w:tcW w:w="34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Льготное заемное финансирование Регионального фонда развития промышленности</w:t>
            </w:r>
          </w:p>
        </w:tc>
        <w:tc>
          <w:tcPr>
            <w:tcW w:w="6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Для реализации новых промышленных проектов РФРП предоставляет целевые займы по ставке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от 3 % до 5 %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годовых сроком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до 5 лет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 в объёме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от 20 млн. рублей до 200 млн. рублей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Софинансирование проектов, реализуемых по приоритетным направлениям российской промышленности по программам: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«Проекты развития»;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«Комплектующие изделия»;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«Производительность труда»;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firstLine="267" w:left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«Проекты лесной промышленности».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60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Средства предоставляются только на покупку оборудования.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0"/>
                <w:lang w:val="ru-RU" w:eastAsia="ru-RU" w:bidi="ar-SA"/>
              </w:rPr>
              <w:t>Необходимо получение Банковской гарантии на сумму займа и проценты по платежам.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160"/>
        <w:jc w:val="both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Контактный телефон : Карагодина Елизавета Вадимовна 8(843) 567-36-26 Министерство промышленности и торговли РТ</w:t>
      </w:r>
    </w:p>
    <w:sectPr>
      <w:type w:val="nextPage"/>
      <w:pgSz w:w="11906" w:h="16838"/>
      <w:pgMar w:left="1134" w:right="850" w:gutter="0" w:header="0" w:top="709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59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59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59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59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59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Style9" w:customStyle="1">
    <w:name w:val="Абзац списка Знак"/>
    <w:basedOn w:val="1"/>
    <w:link w:val="ListParagraph"/>
    <w:qFormat/>
    <w:rPr/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Верхний колонтитул Знак"/>
    <w:basedOn w:val="1"/>
    <w:qFormat/>
    <w:rPr/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1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formattext" w:customStyle="1">
    <w:name w:val="formattext"/>
    <w:basedOn w:val="1"/>
    <w:link w:val="formattext1"/>
    <w:qFormat/>
    <w:rPr>
      <w:rFonts w:ascii="Times New Roman" w:hAnsi="Times New Roman"/>
      <w:sz w:val="24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59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qFormat/>
    <w:pPr>
      <w:spacing w:before="0" w:after="160"/>
      <w:ind w:left="720"/>
      <w:contextualSpacing/>
    </w:pPr>
    <w:rPr/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59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59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59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59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user2" w:customStyle="1">
    <w:name w:val="Колонтитулы (user)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59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Основной шрифт абзаца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59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59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59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59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rmattext1" w:customStyle="1">
    <w:name w:val="formattext1"/>
    <w:basedOn w:val="Normal"/>
    <w:link w:val="formattext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59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lineRule="auto" w:line="259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59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LibreOffice/25.2.6.2$Linux_X86_64 LibreOffice_project/520$Build-2</Application>
  <AppVersion>15.0000</AppVersion>
  <Pages>3</Pages>
  <Words>606</Words>
  <Characters>4164</Characters>
  <CharactersWithSpaces>4701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2026-03-24T04:57:00Z</dcterms:created>
  <dc:creator>Садриева Альфира Махмудовна</dc:creator>
  <dc:description/>
  <dc:language>ru-RU</dc:language>
  <cp:lastModifiedBy/>
  <cp:lastPrinted>2026-03-24T11:48:00Z</cp:lastPrinted>
  <dcterms:modified xsi:type="dcterms:W3CDTF">2026-03-25T16:53:56Z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