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BD4A95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>Основание</w:t>
            </w:r>
            <w:r w:rsidRPr="00C3135A">
              <w:rPr>
                <w:b/>
                <w:bCs/>
                <w:sz w:val="22"/>
              </w:rPr>
              <w:t xml:space="preserve">: </w:t>
            </w:r>
            <w:r w:rsidRPr="00C3135A">
              <w:rPr>
                <w:bCs/>
                <w:sz w:val="22"/>
              </w:rPr>
              <w:t>Постановление</w:t>
            </w:r>
            <w:r w:rsidRPr="00C3135A">
              <w:rPr>
                <w:sz w:val="22"/>
              </w:rPr>
              <w:t xml:space="preserve"> Исполнительного комитета муниципального образования города Набережные Челны от </w:t>
            </w:r>
            <w:r w:rsidR="00BD4A95" w:rsidRPr="00C3135A">
              <w:rPr>
                <w:sz w:val="22"/>
              </w:rPr>
              <w:t>14</w:t>
            </w:r>
            <w:r w:rsidR="006A4977" w:rsidRPr="00C3135A">
              <w:rPr>
                <w:sz w:val="22"/>
              </w:rPr>
              <w:t xml:space="preserve"> июля </w:t>
            </w:r>
            <w:r w:rsidR="008852A6" w:rsidRPr="00C3135A">
              <w:rPr>
                <w:sz w:val="22"/>
              </w:rPr>
              <w:t>2023</w:t>
            </w:r>
            <w:r w:rsidR="00AE19C5" w:rsidRPr="00C3135A">
              <w:rPr>
                <w:sz w:val="22"/>
              </w:rPr>
              <w:t xml:space="preserve"> </w:t>
            </w:r>
            <w:r w:rsidRPr="00C3135A">
              <w:rPr>
                <w:sz w:val="22"/>
              </w:rPr>
              <w:t>№</w:t>
            </w:r>
            <w:r w:rsidR="00BD4A95" w:rsidRPr="00C3135A">
              <w:rPr>
                <w:sz w:val="22"/>
              </w:rPr>
              <w:t>6307</w:t>
            </w:r>
            <w:r w:rsidR="001D71A7" w:rsidRPr="00C3135A">
              <w:rPr>
                <w:sz w:val="22"/>
              </w:rPr>
              <w:t xml:space="preserve"> «О проведен</w:t>
            </w:r>
            <w:proofErr w:type="gramStart"/>
            <w:r w:rsidR="001D71A7" w:rsidRPr="00C3135A">
              <w:rPr>
                <w:sz w:val="22"/>
              </w:rPr>
              <w:t>ии ау</w:t>
            </w:r>
            <w:proofErr w:type="gramEnd"/>
            <w:r w:rsidR="001D71A7" w:rsidRPr="00C3135A">
              <w:rPr>
                <w:sz w:val="22"/>
              </w:rPr>
              <w:t xml:space="preserve">кциона </w:t>
            </w:r>
            <w:r w:rsidR="006A4977" w:rsidRPr="00C3135A">
              <w:rPr>
                <w:sz w:val="22"/>
              </w:rPr>
              <w:t xml:space="preserve">в электронной форме </w:t>
            </w:r>
            <w:r w:rsidR="001D71A7" w:rsidRPr="00C3135A">
              <w:rPr>
                <w:sz w:val="22"/>
              </w:rPr>
              <w:t>на право заключения договор</w:t>
            </w:r>
            <w:r w:rsidR="00BD4A95" w:rsidRPr="00C3135A">
              <w:rPr>
                <w:sz w:val="22"/>
              </w:rPr>
              <w:t>ов</w:t>
            </w:r>
            <w:r w:rsidR="001D71A7" w:rsidRPr="00C3135A">
              <w:rPr>
                <w:sz w:val="22"/>
              </w:rPr>
              <w:t xml:space="preserve"> аренды земельн</w:t>
            </w:r>
            <w:r w:rsidR="00BD4A95" w:rsidRPr="00C3135A">
              <w:rPr>
                <w:sz w:val="22"/>
              </w:rPr>
              <w:t>ых</w:t>
            </w:r>
            <w:r w:rsidR="001D71A7" w:rsidRPr="00C3135A">
              <w:rPr>
                <w:sz w:val="22"/>
              </w:rPr>
              <w:t xml:space="preserve"> участк</w:t>
            </w:r>
            <w:r w:rsidR="00BD4A95" w:rsidRPr="00C3135A">
              <w:rPr>
                <w:sz w:val="22"/>
              </w:rPr>
              <w:t>ов</w:t>
            </w:r>
            <w:r w:rsidR="001D71A7" w:rsidRPr="00C3135A">
              <w:rPr>
                <w:sz w:val="22"/>
              </w:rPr>
              <w:t>»</w:t>
            </w:r>
            <w:r w:rsidRPr="00C3135A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211"/>
              <w:gridCol w:w="1624"/>
              <w:gridCol w:w="1211"/>
              <w:gridCol w:w="1211"/>
            </w:tblGrid>
            <w:tr w:rsidR="003A4428" w:rsidRPr="00C46620" w:rsidTr="00546818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  <w:proofErr w:type="gramEnd"/>
                </w:p>
                <w:p w:rsidR="00424950" w:rsidRPr="00145B29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5E498B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9804FF">
                    <w:rPr>
                      <w:b/>
                      <w:sz w:val="20"/>
                      <w:szCs w:val="20"/>
                    </w:rPr>
                    <w:t>Размер обеспечения комиссионного сбора с НДС (руб.)*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C3135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692F" w:rsidRPr="00C3135A" w:rsidRDefault="00A2692F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РТ, г. Набережные Челны, промышленно-коммунальная зона города Набережные Челны, Производственный проезд, земельный участок 8</w:t>
                  </w:r>
                </w:p>
                <w:p w:rsidR="00424950" w:rsidRPr="00C3135A" w:rsidRDefault="00424950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C3135A" w:rsidRDefault="00A2692F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производственная база </w:t>
                  </w:r>
                  <w:proofErr w:type="spellStart"/>
                  <w:proofErr w:type="gramStart"/>
                  <w:r w:rsidRPr="00C3135A">
                    <w:rPr>
                      <w:sz w:val="20"/>
                      <w:szCs w:val="20"/>
                    </w:rPr>
                    <w:t>непродовольствен-ного</w:t>
                  </w:r>
                  <w:proofErr w:type="spellEnd"/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 назначения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1D71A7" w:rsidRPr="00C3135A" w:rsidRDefault="001D71A7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65536" w:rsidRPr="00C3135A" w:rsidRDefault="00E65536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2692F" w:rsidRPr="00C3135A" w:rsidRDefault="00A2692F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3135A" w:rsidRDefault="00A2692F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15060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A2692F" w:rsidRPr="00C3135A" w:rsidRDefault="00A2692F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15060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C3135A" w:rsidRDefault="00EC731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C3135A" w:rsidRDefault="00A2692F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        16:52:090104:542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Pr="00C3135A" w:rsidRDefault="00FE659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C3135A" w:rsidRDefault="00FE659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Pr="00C3135A" w:rsidRDefault="001D71A7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C3135A" w:rsidRDefault="00EC731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3135A" w:rsidRDefault="00A2692F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1 967 890,00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C3135A" w:rsidRDefault="00EC731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3135A" w:rsidRDefault="00A2692F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59 037,00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C3135A" w:rsidRDefault="00EC7319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3135A" w:rsidRDefault="00A2692F" w:rsidP="00C3135A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1 574 312,00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3A4428" w:rsidRPr="00C3135A" w:rsidRDefault="003A4428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C33A7A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E65536" w:rsidRPr="00C3135A" w:rsidRDefault="00E65536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B769A5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69A5" w:rsidRPr="00C3135A" w:rsidRDefault="00B769A5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РТ, г. Набережные Челны, Индустриальный проезд, промышленно-коммунальная зона</w:t>
                  </w:r>
                </w:p>
                <w:p w:rsidR="00B769A5" w:rsidRPr="00C3135A" w:rsidRDefault="00B769A5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69A5" w:rsidRPr="00C3135A" w:rsidRDefault="00B769A5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6.0 – производственная деятельность, </w:t>
                  </w:r>
                </w:p>
                <w:p w:rsidR="00B769A5" w:rsidRPr="00C3135A" w:rsidRDefault="00B769A5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35" w:rsidRPr="00C3135A" w:rsidRDefault="00F0083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0835" w:rsidRPr="00C3135A" w:rsidRDefault="00F0083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14504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1587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, 5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,  – 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     16:52:090104:122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аренда </w:t>
                  </w: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на 5 лет</w:t>
                  </w: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1 903 940,00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57 118,00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1 523 152,00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1036A8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B769A5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9A5" w:rsidRDefault="00B769A5" w:rsidP="00C3135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7813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РТ, г. Набережные Челны, Промышленно-коммунальная зона города Набережные Челны, улица Моторная, земельный участок 54А</w:t>
                  </w:r>
                </w:p>
                <w:p w:rsidR="00B769A5" w:rsidRPr="00C3135A" w:rsidRDefault="00B769A5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69A5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12694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12694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B769A5" w:rsidRPr="00C3135A" w:rsidRDefault="00B769A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769A5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     16:52:100402:402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B769A5" w:rsidRPr="00C3135A" w:rsidRDefault="00B769A5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1 321 445,00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39 643,00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1 057 156,00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B769A5" w:rsidRPr="00C3135A" w:rsidRDefault="001036A8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B769A5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807813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Default="00807813" w:rsidP="00C3135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7813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РТ, г. Набережные Челны, Промышленно-коммунальная зона города Набережные Челны, проезд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Механизаторный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, земельный участок 28</w:t>
                  </w:r>
                </w:p>
                <w:p w:rsidR="00807813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7813" w:rsidRPr="00C3135A" w:rsidRDefault="00807813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35" w:rsidRPr="00C3135A" w:rsidRDefault="00F0083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0835" w:rsidRPr="00C3135A" w:rsidRDefault="00F0083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9240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123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        16:52:100304:612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</w:t>
                  </w: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1 280 480,00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38 414,00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1 024 384,00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1036A8" w:rsidRDefault="001036A8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1036A8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807813" w:rsidRPr="00C3135A" w:rsidRDefault="00807813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8C3DAC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DAC" w:rsidRDefault="008C3DAC" w:rsidP="00C3135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DAC" w:rsidRPr="00C3135A" w:rsidRDefault="008C3DAC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РТ, г. Набережные Челны</w:t>
                  </w:r>
                </w:p>
                <w:p w:rsidR="008C3DAC" w:rsidRPr="00C3135A" w:rsidRDefault="008C3DAC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DAC" w:rsidRPr="00C3135A" w:rsidRDefault="008C3DAC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4.9 – служебные гаражи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354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354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  16:52:060304:4162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C3DAC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146 650,00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C3DAC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4 400,00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C3DAC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117 320,00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EC3164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</w:t>
                  </w:r>
                  <w:r w:rsidR="001036A8">
                    <w:rPr>
                      <w:sz w:val="20"/>
                      <w:szCs w:val="20"/>
                    </w:rPr>
                    <w:t> </w:t>
                  </w:r>
                  <w:r w:rsidRPr="00C3135A">
                    <w:rPr>
                      <w:sz w:val="20"/>
                      <w:szCs w:val="20"/>
                    </w:rPr>
                    <w:t>760</w:t>
                  </w:r>
                  <w:r w:rsidR="001036A8">
                    <w:rPr>
                      <w:sz w:val="20"/>
                      <w:szCs w:val="20"/>
                    </w:rPr>
                    <w:t>,00</w:t>
                  </w:r>
                  <w:bookmarkStart w:id="0" w:name="_GoBack"/>
                  <w:bookmarkEnd w:id="0"/>
                </w:p>
                <w:p w:rsidR="008C3DAC" w:rsidRPr="00C3135A" w:rsidRDefault="008C3DAC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35" w:rsidRPr="00C3135A" w:rsidRDefault="00F00835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8C3DAC" w:rsidRPr="00C3135A" w:rsidRDefault="00EC3164" w:rsidP="00C3135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736033" w:rsidRDefault="00424950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EC3164" w:rsidRPr="00C3135A" w:rsidRDefault="00D70442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 xml:space="preserve"> </w:t>
            </w:r>
            <w:r w:rsidR="00736033" w:rsidRPr="005715BD">
              <w:rPr>
                <w:sz w:val="22"/>
                <w:szCs w:val="22"/>
              </w:rPr>
              <w:t xml:space="preserve"> </w:t>
            </w:r>
            <w:r w:rsidR="00EC3164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EC3164" w:rsidRPr="00C3135A">
              <w:rPr>
                <w:sz w:val="22"/>
                <w:szCs w:val="22"/>
              </w:rPr>
              <w:t>В отношении указанных земельных участков,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максимальный процент застройки участка – 75 процентов.</w:t>
            </w:r>
          </w:p>
          <w:p w:rsidR="00424950" w:rsidRPr="00D66736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6E7137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6E7137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6E7137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Объект</w:t>
                  </w: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104692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Сети газоснабжения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Сети водоснабжения, водоотведения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6E7137" w:rsidRDefault="00424950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3135A" w:rsidRDefault="00424950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424950" w:rsidP="00C3135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C53BDE" w:rsidP="00C3135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АО  «Татэнерго» - «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424950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16:52:090104:542;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Вид использования – производственная база непродовольственного назначения;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Промышленно-коммунальная зона города Набережные Челны, Производственный проезд, земельный участок 8;</w:t>
                  </w:r>
                </w:p>
                <w:p w:rsidR="00C373B6" w:rsidRPr="00C3135A" w:rsidRDefault="00C53BDE" w:rsidP="00C3135A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C3135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C3135A">
                    <w:rPr>
                      <w:sz w:val="20"/>
                      <w:szCs w:val="20"/>
                    </w:rPr>
                    <w:t xml:space="preserve"> = 15060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424950" w:rsidRPr="00C3135A" w:rsidRDefault="00424950" w:rsidP="00C3135A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C3135A" w:rsidRDefault="00424950" w:rsidP="00C3135A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424950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500мм вдоль Производственного проезда;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500 мм вдоль Производственного проезда.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C3135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424950" w:rsidRPr="00C3135A" w:rsidRDefault="00C53BDE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 «ЧЕЛНЫВОДОКАНАЛ» от 17.04.2023      № 92-137-17-2491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Возможность подключения имеется.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Письмо АО «ТАТЭНЕРГО» от 02.06.2023 № 102-03/1269 «О предоставлении информации».</w:t>
                  </w:r>
                </w:p>
                <w:p w:rsidR="00424950" w:rsidRPr="00C3135A" w:rsidRDefault="00424950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  <w:tr w:rsidR="00C53BDE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46620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16:52:090104:122;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Вид использования: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6.0 – производственная деятельность, 6.9 – склад;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Индустриальный проезд, промышленно-коммунальная зона;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C3135A">
                    <w:rPr>
                      <w:sz w:val="20"/>
                      <w:szCs w:val="20"/>
                    </w:rPr>
                    <w:t xml:space="preserve"> = 14504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500мм в районе Индустриального проезда или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280 мм вдоль а/д 31;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500 мм вдоль Индустриального проезда.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C3135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 «ЧЕЛНЫВОДОКАНАЛ» от 13.06.2023      № 92-137-17-3908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Возможность подключения имеется.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Письмо АО «ТАТЭНЕРГО» от 20.06.2023 № 102-03/1417 «О предоставлении информации».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53BDE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16:52:100402:402;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Промышленно-коммунальная зона города Набережные Челны, улица Моторная, земельный участок 54А;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C3135A">
                    <w:rPr>
                      <w:sz w:val="20"/>
                      <w:szCs w:val="20"/>
                    </w:rPr>
                    <w:t xml:space="preserve"> = 12694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1200мм вдоль ул. Моторная;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200 мм в районе а/д 83.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C3135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 «ЧЕЛНЫВОДОКАНАЛ» от 13.06.2023      № 92-137-17-3908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Письмо АО «ТАТЭНЕРГО» от 20.06.2023 № 102-03/1417  «О предоставлении информации».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53BDE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4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16:52:100304:612;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проезд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Механизаторный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, земельный участок 28;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C3135A">
                    <w:rPr>
                      <w:sz w:val="20"/>
                      <w:szCs w:val="20"/>
                    </w:rPr>
                    <w:t xml:space="preserve"> = 9240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800мм вдоль ул. Моторная;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800 мм а/д 56 Автопроизводства.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C3135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16.12.2020 №461-131/тп-2020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2021 год и от 16.12.2020 №460-130/тп-2020 «Об установлении тарифов на подключение (технологическое присоединение) к централизованной системе водоотведения ООО «ЧЕЛНЫВОДОКАНАЛ» на 2021 год. </w:t>
                  </w:r>
                  <w:proofErr w:type="gramEnd"/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 «ЧЕЛНЫВОДОКАНАЛ» от 28.01.2021      № 92-137-17-696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Для подключения к тепловым сетям необходимо обратиться в ООО КАМАЗ-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Энерго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».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Письмо АО «ТАТЭНЕРГО» от 03.02.2021 № 10-03/238 «О технической возможности».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53BDE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16:52:060304:4162;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Вид использования: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4.9 – служебные гаражи;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РТ, г. Набережные Челны;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C3135A">
                    <w:rPr>
                      <w:sz w:val="20"/>
                      <w:szCs w:val="20"/>
                    </w:rPr>
                    <w:t xml:space="preserve"> = 354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200мм в районе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ж.д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. 25/21;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300 мм 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вдоль ж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/д 25/15.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C3135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  <w:proofErr w:type="gramEnd"/>
                </w:p>
                <w:p w:rsidR="00C53BDE" w:rsidRPr="00C3135A" w:rsidRDefault="00C53BDE" w:rsidP="00C3135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 «ЧЕЛНЫВОДОКАНАЛ» от 19.08.2022      № 92-137-17-5818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Рассмотрение технической возможности для подключения к системе теплоснабжения будет возможна после получения дополнительной информации (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согласно Постановления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 Правительства РФ от 30.11.2021 №2115).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Письмо АО «ТАТЭНЕРГО» от 23.06.2022 № 10-03-1614 «О технической возможности».</w:t>
                  </w:r>
                </w:p>
                <w:p w:rsidR="00C53BDE" w:rsidRPr="00C3135A" w:rsidRDefault="00C53BDE" w:rsidP="00C3135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C53BDE" w:rsidRPr="00C3135A" w:rsidRDefault="00C53BDE" w:rsidP="00C53BDE">
            <w:pPr>
              <w:ind w:left="18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ЭПУ «</w:t>
            </w:r>
            <w:proofErr w:type="spellStart"/>
            <w:r w:rsidRPr="00C3135A">
              <w:rPr>
                <w:sz w:val="22"/>
                <w:szCs w:val="22"/>
              </w:rPr>
              <w:t>Челныгаз</w:t>
            </w:r>
            <w:proofErr w:type="spellEnd"/>
            <w:r w:rsidRPr="00C3135A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C3135A">
                <w:rPr>
                  <w:sz w:val="22"/>
                  <w:szCs w:val="22"/>
                </w:rPr>
                <w:t>423822, г</w:t>
              </w:r>
            </w:smartTag>
            <w:r w:rsidRPr="00C3135A">
              <w:rPr>
                <w:sz w:val="22"/>
                <w:szCs w:val="22"/>
              </w:rPr>
              <w:t>. Набережные Челны, пос. Элеваторная гора, ул. Лермонтова, 60. Тел.: (8552) 71-75-10.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ООО «</w:t>
            </w:r>
            <w:proofErr w:type="spellStart"/>
            <w:r w:rsidRPr="00C3135A">
              <w:rPr>
                <w:sz w:val="22"/>
                <w:szCs w:val="22"/>
              </w:rPr>
              <w:t>Таттрансгаз</w:t>
            </w:r>
            <w:proofErr w:type="spellEnd"/>
            <w:r w:rsidRPr="00C3135A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C3135A">
                <w:rPr>
                  <w:sz w:val="22"/>
                  <w:szCs w:val="22"/>
                </w:rPr>
                <w:t>420073, г</w:t>
              </w:r>
            </w:smartTag>
            <w:r w:rsidRPr="00C3135A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C3135A">
              <w:rPr>
                <w:sz w:val="22"/>
                <w:szCs w:val="22"/>
              </w:rPr>
              <w:t>А.Кутуя</w:t>
            </w:r>
            <w:proofErr w:type="spellEnd"/>
            <w:r w:rsidRPr="00C3135A">
              <w:rPr>
                <w:sz w:val="22"/>
                <w:szCs w:val="22"/>
              </w:rPr>
              <w:t>, 41. Тел.: (843) 272-62-66.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 xml:space="preserve">Ф-л  ОАО «Сетевая компания» </w:t>
            </w:r>
            <w:proofErr w:type="spellStart"/>
            <w:r w:rsidRPr="00C3135A">
              <w:rPr>
                <w:sz w:val="22"/>
                <w:szCs w:val="22"/>
              </w:rPr>
              <w:t>Набережночелнинские</w:t>
            </w:r>
            <w:proofErr w:type="spellEnd"/>
            <w:r w:rsidRPr="00C3135A">
              <w:rPr>
                <w:sz w:val="22"/>
                <w:szCs w:val="22"/>
              </w:rPr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C3135A">
                <w:rPr>
                  <w:sz w:val="22"/>
                  <w:szCs w:val="22"/>
                </w:rPr>
                <w:t>423810, г</w:t>
              </w:r>
            </w:smartTag>
            <w:r w:rsidRPr="00C3135A">
              <w:rPr>
                <w:sz w:val="22"/>
                <w:szCs w:val="22"/>
              </w:rPr>
              <w:t>. Набережные Челны, пр-т Московский, д. 114. Тел.: (8552) 74-55-59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C3135A">
                <w:rPr>
                  <w:sz w:val="22"/>
                  <w:szCs w:val="22"/>
                </w:rPr>
                <w:t>423810, г</w:t>
              </w:r>
            </w:smartTag>
            <w:r w:rsidRPr="00C3135A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C53BDE" w:rsidRPr="00C3135A" w:rsidRDefault="00C53BDE" w:rsidP="00C53BDE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Тел. (8552) 53-44-50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АО «ТАТЭНЕРГО» - «</w:t>
            </w:r>
            <w:proofErr w:type="spellStart"/>
            <w:r w:rsidRPr="00C3135A">
              <w:rPr>
                <w:sz w:val="22"/>
                <w:szCs w:val="22"/>
              </w:rPr>
              <w:t>Набережночелнинские</w:t>
            </w:r>
            <w:proofErr w:type="spellEnd"/>
            <w:r w:rsidRPr="00C3135A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FF215C" w:rsidRPr="00C53BDE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5E66EA">
              <w:rPr>
                <w:rFonts w:eastAsia="Calibri"/>
                <w:sz w:val="22"/>
              </w:rPr>
              <w:t>Аукцион проводится впервые.</w:t>
            </w:r>
          </w:p>
          <w:p w:rsidR="007D63BA" w:rsidRPr="00C46620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 xml:space="preserve">Требование о внесении задатка: Сумма задатка для участия в аукционе перечисляется (вносится) в течение срока приема заявок единым платежом на </w:t>
            </w:r>
            <w:r w:rsidRPr="00205731">
              <w:rPr>
                <w:sz w:val="22"/>
              </w:rPr>
              <w:lastRenderedPageBreak/>
              <w:t>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р</w:t>
            </w:r>
            <w:proofErr w:type="gramEnd"/>
            <w:r w:rsidRPr="00205731">
              <w:rPr>
                <w:sz w:val="22"/>
              </w:rPr>
              <w:t>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к</w:t>
            </w:r>
            <w:proofErr w:type="gramEnd"/>
            <w:r w:rsidRPr="00205731">
              <w:rPr>
                <w:sz w:val="22"/>
              </w:rPr>
              <w:t>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="007D63BA" w:rsidRPr="005E66EA">
              <w:rPr>
                <w:sz w:val="22"/>
              </w:rPr>
      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 </w:t>
            </w:r>
            <w:hyperlink r:id="rId9" w:anchor="dst671" w:history="1">
              <w:r w:rsidR="007D63BA" w:rsidRPr="005E66EA">
                <w:rPr>
                  <w:sz w:val="22"/>
                </w:rPr>
                <w:t>подпунктах 2</w:t>
              </w:r>
            </w:hyperlink>
            <w:r w:rsidR="007D63BA" w:rsidRPr="005E66EA">
              <w:rPr>
                <w:sz w:val="22"/>
              </w:rPr>
              <w:t> - </w:t>
            </w:r>
            <w:hyperlink r:id="rId10" w:anchor="dst673" w:history="1">
              <w:r w:rsidR="007D63BA" w:rsidRPr="005E66EA">
                <w:rPr>
                  <w:sz w:val="22"/>
                </w:rPr>
                <w:t>4 пункта 1</w:t>
              </w:r>
            </w:hyperlink>
            <w:r w:rsidR="007D63BA" w:rsidRPr="005E66EA">
              <w:rPr>
                <w:sz w:val="22"/>
              </w:rPr>
              <w:t>, </w:t>
            </w:r>
            <w:hyperlink r:id="rId11" w:anchor="dst1744" w:history="1">
              <w:r w:rsidR="007D63BA" w:rsidRPr="005E66EA">
                <w:rPr>
                  <w:sz w:val="22"/>
                </w:rPr>
                <w:t>пункте 1.1 статьи 39.12</w:t>
              </w:r>
            </w:hyperlink>
            <w:r w:rsidR="007D63BA" w:rsidRPr="005E66EA">
              <w:rPr>
                <w:sz w:val="22"/>
              </w:rPr>
              <w:t> земельного Кодекса.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  <w:r w:rsidRPr="005E66EA">
              <w:rPr>
                <w:sz w:val="22"/>
              </w:rPr>
              <w:t>;</w:t>
            </w:r>
            <w:r w:rsidRPr="005A737E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FF215C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24950" w:rsidRPr="00C46620">
              <w:rPr>
                <w:b/>
                <w:sz w:val="22"/>
              </w:rPr>
              <w:t>юридические лица</w:t>
            </w:r>
            <w:r w:rsidR="00424950"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="00424950"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="00424950"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12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3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lastRenderedPageBreak/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973C05">
              <w:rPr>
                <w:b/>
                <w:i/>
                <w:sz w:val="22"/>
                <w:highlight w:val="cyan"/>
                <w:u w:val="single"/>
              </w:rPr>
              <w:t xml:space="preserve">21 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>июля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>21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 xml:space="preserve">августа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17:00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6E7137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22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августа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6E7137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23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августа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09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5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6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8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9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официальном сайте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940F04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A75CCA" w:rsidP="00A75CCA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 на официальном сайте </w:t>
            </w:r>
            <w:hyperlink r:id="rId21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>
              <w:rPr>
                <w:color w:val="0070C0"/>
                <w:sz w:val="22"/>
                <w:u w:val="single"/>
              </w:rPr>
              <w:t xml:space="preserve"> </w:t>
            </w:r>
            <w:r w:rsidRPr="00940F04">
              <w:rPr>
                <w:sz w:val="22"/>
              </w:rPr>
              <w:t>не был</w:t>
            </w:r>
            <w:r w:rsidRPr="00C46620">
              <w:rPr>
                <w:sz w:val="22"/>
              </w:rPr>
              <w:t xml:space="preserve">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</w:t>
            </w:r>
            <w:proofErr w:type="gramEnd"/>
            <w:r w:rsidRPr="00C46620">
              <w:rPr>
                <w:sz w:val="22"/>
              </w:rPr>
              <w:t xml:space="preserve"> аукциона.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на  официальном сайте </w:t>
            </w:r>
            <w:hyperlink r:id="rId22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 w:rsidRPr="00940F04">
              <w:rPr>
                <w:sz w:val="22"/>
              </w:rPr>
              <w:t xml:space="preserve"> заключить договор аренды земельного участка</w:t>
            </w:r>
            <w:r w:rsidRPr="00C46620">
              <w:rPr>
                <w:sz w:val="22"/>
              </w:rPr>
              <w:t xml:space="preserve">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5E66EA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5E66EA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5E66EA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Казань БИК 019205400, </w:t>
            </w:r>
            <w:proofErr w:type="gramStart"/>
            <w:r w:rsidRPr="005E66EA">
              <w:rPr>
                <w:sz w:val="22"/>
              </w:rPr>
              <w:t>р</w:t>
            </w:r>
            <w:proofErr w:type="gramEnd"/>
            <w:r w:rsidRPr="005E66EA">
              <w:rPr>
                <w:sz w:val="22"/>
              </w:rPr>
              <w:t>/с 03100643000000011100,  к/с 40102810445370000079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ИНН 1650135166,  КПП 165001001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Код ОКТМО 92730000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4" w:history="1">
              <w:r w:rsidRPr="00C46620">
                <w:rPr>
                  <w:sz w:val="22"/>
                </w:rPr>
                <w:t xml:space="preserve"> </w:t>
              </w:r>
              <w:hyperlink r:id="rId25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6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424950" w:rsidRPr="00C46620" w:rsidRDefault="00424950" w:rsidP="006E7137">
            <w:pPr>
              <w:rPr>
                <w:sz w:val="22"/>
              </w:rPr>
            </w:pPr>
            <w:r w:rsidRPr="005E66EA">
              <w:rPr>
                <w:sz w:val="22"/>
              </w:rPr>
              <w:t>проект дог</w:t>
            </w:r>
            <w:r w:rsidR="00716C49" w:rsidRPr="005E66EA">
              <w:rPr>
                <w:sz w:val="22"/>
              </w:rPr>
              <w:t>овора аренды земельного участка.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A2A85"/>
    <w:rsid w:val="000A3370"/>
    <w:rsid w:val="001036A8"/>
    <w:rsid w:val="00104692"/>
    <w:rsid w:val="00140D2C"/>
    <w:rsid w:val="00145B29"/>
    <w:rsid w:val="001D71A7"/>
    <w:rsid w:val="00205731"/>
    <w:rsid w:val="00234B21"/>
    <w:rsid w:val="00262D07"/>
    <w:rsid w:val="002F32E4"/>
    <w:rsid w:val="003247F2"/>
    <w:rsid w:val="00372963"/>
    <w:rsid w:val="003A4428"/>
    <w:rsid w:val="003B57BB"/>
    <w:rsid w:val="003C2B18"/>
    <w:rsid w:val="003D72F0"/>
    <w:rsid w:val="003E68D9"/>
    <w:rsid w:val="00412EA3"/>
    <w:rsid w:val="00424950"/>
    <w:rsid w:val="004824F6"/>
    <w:rsid w:val="004A67F7"/>
    <w:rsid w:val="00546818"/>
    <w:rsid w:val="005A737E"/>
    <w:rsid w:val="005E498B"/>
    <w:rsid w:val="005E66EA"/>
    <w:rsid w:val="005E7F6D"/>
    <w:rsid w:val="0060752A"/>
    <w:rsid w:val="00612798"/>
    <w:rsid w:val="0061486A"/>
    <w:rsid w:val="00652034"/>
    <w:rsid w:val="006A4977"/>
    <w:rsid w:val="006C2C38"/>
    <w:rsid w:val="006E7137"/>
    <w:rsid w:val="006F2990"/>
    <w:rsid w:val="006F5B10"/>
    <w:rsid w:val="00711C0E"/>
    <w:rsid w:val="00716C49"/>
    <w:rsid w:val="007255C9"/>
    <w:rsid w:val="00736033"/>
    <w:rsid w:val="007A49FD"/>
    <w:rsid w:val="007D63BA"/>
    <w:rsid w:val="00807813"/>
    <w:rsid w:val="008852A6"/>
    <w:rsid w:val="008C3DAC"/>
    <w:rsid w:val="008C5851"/>
    <w:rsid w:val="00973C05"/>
    <w:rsid w:val="009933A2"/>
    <w:rsid w:val="00996E13"/>
    <w:rsid w:val="009A41D7"/>
    <w:rsid w:val="009A4550"/>
    <w:rsid w:val="009C554A"/>
    <w:rsid w:val="00A1486A"/>
    <w:rsid w:val="00A2692F"/>
    <w:rsid w:val="00A55EA4"/>
    <w:rsid w:val="00A75CCA"/>
    <w:rsid w:val="00AD1F17"/>
    <w:rsid w:val="00AE19C5"/>
    <w:rsid w:val="00AE2B1B"/>
    <w:rsid w:val="00B14A0C"/>
    <w:rsid w:val="00B3712A"/>
    <w:rsid w:val="00B4422A"/>
    <w:rsid w:val="00B769A5"/>
    <w:rsid w:val="00BD4A95"/>
    <w:rsid w:val="00BD5ABE"/>
    <w:rsid w:val="00BE242A"/>
    <w:rsid w:val="00C30A02"/>
    <w:rsid w:val="00C3135A"/>
    <w:rsid w:val="00C33A7A"/>
    <w:rsid w:val="00C373B6"/>
    <w:rsid w:val="00C53BDE"/>
    <w:rsid w:val="00C67176"/>
    <w:rsid w:val="00CD1800"/>
    <w:rsid w:val="00D16F6D"/>
    <w:rsid w:val="00D35181"/>
    <w:rsid w:val="00D55723"/>
    <w:rsid w:val="00D66736"/>
    <w:rsid w:val="00D70442"/>
    <w:rsid w:val="00D760B4"/>
    <w:rsid w:val="00DE7D3E"/>
    <w:rsid w:val="00E33301"/>
    <w:rsid w:val="00E52A37"/>
    <w:rsid w:val="00E65536"/>
    <w:rsid w:val="00EB0303"/>
    <w:rsid w:val="00EB1B69"/>
    <w:rsid w:val="00EC3164"/>
    <w:rsid w:val="00EC7319"/>
    <w:rsid w:val="00F00835"/>
    <w:rsid w:val="00F05629"/>
    <w:rsid w:val="00F16155"/>
    <w:rsid w:val="00F20875"/>
    <w:rsid w:val="00F861EC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mailto:sale@mail.zakazrf.ru." TargetMode="External"/><Relationship Id="rId18" Type="http://schemas.openxmlformats.org/officeDocument/2006/relationships/hyperlink" Target="http://sale.zakazrf.ru/" TargetMode="External"/><Relationship Id="rId26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orgi.gov.ru/new/public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://sale.zakazrf.ru/" TargetMode="External"/><Relationship Id="rId17" Type="http://schemas.openxmlformats.org/officeDocument/2006/relationships/hyperlink" Target="https://torgi.gov.ru/new/public" TargetMode="External"/><Relationship Id="rId25" Type="http://schemas.openxmlformats.org/officeDocument/2006/relationships/hyperlink" Target="http://nabcheln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abchelny.ru/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s://www.consultant.ru/document/cons_doc_LAW_449660/3446ddfcafad7edd45fa9e4766584f3a09c11d98/" TargetMode="External"/><Relationship Id="rId24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zio.tatarstan.ru/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449660/3446ddfcafad7edd45fa9e4766584f3a09c11d98/" TargetMode="External"/><Relationship Id="rId19" Type="http://schemas.openxmlformats.org/officeDocument/2006/relationships/hyperlink" Target="garantF1://890941.25746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9660/3446ddfcafad7edd45fa9e4766584f3a09c11d98/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s://torgi.gov.ru/new/publ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53</cp:revision>
  <cp:lastPrinted>2023-05-29T07:02:00Z</cp:lastPrinted>
  <dcterms:created xsi:type="dcterms:W3CDTF">2023-03-27T09:16:00Z</dcterms:created>
  <dcterms:modified xsi:type="dcterms:W3CDTF">2023-07-19T09:38:00Z</dcterms:modified>
</cp:coreProperties>
</file>