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D420C9">
              <w:rPr>
                <w:rFonts w:ascii="Times New Roman" w:eastAsia="Times New Roman" w:hAnsi="Times New Roman" w:cs="Times New Roman"/>
                <w:sz w:val="24"/>
                <w:szCs w:val="24"/>
                <w:lang w:eastAsia="ru-RU"/>
              </w:rPr>
              <w:t>ния город Набережные Челны от 26.05.2025 №3796</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1F42B1" w:rsidRDefault="00B11A8A" w:rsidP="001F42B1">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AB5B90" w:rsidRPr="00437E6C">
              <w:rPr>
                <w:rFonts w:ascii="Times New Roman" w:hAnsi="Times New Roman" w:cs="Times New Roman"/>
                <w:b/>
                <w:bCs/>
                <w:sz w:val="24"/>
                <w:szCs w:val="24"/>
              </w:rPr>
              <w:t>:</w:t>
            </w:r>
            <w:r w:rsidR="00AB5B90">
              <w:t xml:space="preserve"> </w:t>
            </w:r>
            <w:r w:rsidR="00AB5B90" w:rsidRPr="00AB5B90">
              <w:rPr>
                <w:rFonts w:ascii="Times New Roman" w:hAnsi="Times New Roman" w:cs="Times New Roman"/>
                <w:b/>
                <w:bCs/>
                <w:sz w:val="24"/>
                <w:szCs w:val="24"/>
              </w:rPr>
              <w:t>МБОУ «Средняя школа №52»</w:t>
            </w:r>
            <w:r w:rsidR="00AB5B90">
              <w:rPr>
                <w:rFonts w:ascii="Times New Roman" w:hAnsi="Times New Roman" w:cs="Times New Roman"/>
                <w:b/>
                <w:bCs/>
                <w:sz w:val="24"/>
                <w:szCs w:val="24"/>
              </w:rPr>
              <w:t>,</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AB5B90">
              <w:rPr>
                <w:rFonts w:ascii="Times New Roman" w:hAnsi="Times New Roman" w:cs="Times New Roman"/>
                <w:sz w:val="24"/>
                <w:szCs w:val="24"/>
              </w:rPr>
              <w:t xml:space="preserve"> </w:t>
            </w:r>
            <w:r w:rsidR="00AB5B90" w:rsidRPr="00AB5B90">
              <w:rPr>
                <w:rFonts w:ascii="Times New Roman" w:hAnsi="Times New Roman" w:cs="Times New Roman"/>
                <w:sz w:val="24"/>
                <w:szCs w:val="24"/>
              </w:rPr>
              <w:t>423827, Республика Татарстан, город Набережные Челны, бульвар Автомобилестроителей, дом 5, 52/36</w:t>
            </w:r>
          </w:p>
          <w:p w:rsidR="001E1F2B" w:rsidRPr="00437E6C" w:rsidRDefault="004A6C73" w:rsidP="001F42B1">
            <w:pPr>
              <w:pStyle w:val="21"/>
              <w:keepNext/>
              <w:ind w:firstLine="0"/>
              <w:rPr>
                <w:b/>
                <w:spacing w:val="0"/>
                <w:sz w:val="22"/>
                <w:szCs w:val="22"/>
              </w:rPr>
            </w:pPr>
            <w:r w:rsidRPr="00437E6C">
              <w:rPr>
                <w:b/>
                <w:spacing w:val="0"/>
                <w:sz w:val="22"/>
                <w:szCs w:val="22"/>
              </w:rPr>
              <w:t xml:space="preserve">Тел: </w:t>
            </w:r>
            <w:r w:rsidR="00AB5B90" w:rsidRPr="00AB5B90">
              <w:rPr>
                <w:spacing w:val="0"/>
                <w:sz w:val="22"/>
                <w:szCs w:val="22"/>
              </w:rPr>
              <w:t>59-36-90</w:t>
            </w:r>
          </w:p>
          <w:p w:rsidR="00D72A1F" w:rsidRPr="00AB5B90" w:rsidRDefault="004A6C73" w:rsidP="001E1F2B">
            <w:pPr>
              <w:pStyle w:val="21"/>
              <w:keepNext/>
              <w:ind w:firstLine="0"/>
              <w:rPr>
                <w:sz w:val="24"/>
              </w:rPr>
            </w:pPr>
            <w:r w:rsidRPr="00437E6C">
              <w:rPr>
                <w:b/>
                <w:sz w:val="24"/>
              </w:rPr>
              <w:t>Адрес электронной почты:</w:t>
            </w:r>
            <w:r w:rsidRPr="00437E6C">
              <w:rPr>
                <w:sz w:val="24"/>
              </w:rPr>
              <w:t xml:space="preserve"> </w:t>
            </w:r>
            <w:r w:rsidR="00AB5B90" w:rsidRPr="00AB5B90">
              <w:rPr>
                <w:sz w:val="24"/>
              </w:rPr>
              <w:t>sch52_chelny@mail.ru</w:t>
            </w:r>
            <w:bookmarkStart w:id="0" w:name="_GoBack"/>
            <w:bookmarkEnd w:id="0"/>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D420C9">
              <w:rPr>
                <w:rFonts w:ascii="Times New Roman" w:hAnsi="Times New Roman" w:cs="Times New Roman"/>
                <w:sz w:val="24"/>
                <w:szCs w:val="24"/>
              </w:rPr>
              <w:t xml:space="preserve"> 57,3</w:t>
            </w:r>
            <w:r w:rsidR="00C3768C" w:rsidRPr="00437E6C">
              <w:rPr>
                <w:rFonts w:ascii="Times New Roman" w:hAnsi="Times New Roman" w:cs="Times New Roman"/>
                <w:sz w:val="24"/>
                <w:szCs w:val="24"/>
              </w:rPr>
              <w:t xml:space="preserve"> кв.м</w:t>
            </w:r>
            <w:r w:rsidR="00213570">
              <w:rPr>
                <w:rFonts w:ascii="Times New Roman" w:hAnsi="Times New Roman" w:cs="Times New Roman"/>
                <w:sz w:val="24"/>
                <w:szCs w:val="24"/>
              </w:rPr>
              <w:t xml:space="preserve"> расположенное на первом</w:t>
            </w:r>
            <w:r w:rsidR="00940547" w:rsidRPr="00437E6C">
              <w:rPr>
                <w:rFonts w:ascii="Times New Roman" w:hAnsi="Times New Roman" w:cs="Times New Roman"/>
                <w:sz w:val="24"/>
                <w:szCs w:val="24"/>
              </w:rPr>
              <w:t xml:space="preserve"> этаже здания по адресу: город Набережные Челны, </w:t>
            </w:r>
            <w:r w:rsidR="00D420C9">
              <w:rPr>
                <w:rFonts w:ascii="Times New Roman" w:hAnsi="Times New Roman" w:cs="Times New Roman"/>
                <w:sz w:val="24"/>
                <w:szCs w:val="24"/>
              </w:rPr>
              <w:t>б-р Автомобилестроителей</w:t>
            </w:r>
            <w:r w:rsidR="001F528B">
              <w:rPr>
                <w:rFonts w:ascii="Times New Roman" w:hAnsi="Times New Roman" w:cs="Times New Roman"/>
                <w:sz w:val="24"/>
                <w:szCs w:val="24"/>
              </w:rPr>
              <w:t xml:space="preserve">, </w:t>
            </w:r>
            <w:r w:rsidR="00D420C9">
              <w:rPr>
                <w:rFonts w:ascii="Times New Roman" w:hAnsi="Times New Roman" w:cs="Times New Roman"/>
                <w:sz w:val="24"/>
                <w:szCs w:val="24"/>
              </w:rPr>
              <w:t>дом 5</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0B7EAF" w:rsidRPr="00057785">
              <w:rPr>
                <w:rFonts w:ascii="Times New Roman" w:hAnsi="Times New Roman" w:cs="Times New Roman"/>
                <w:sz w:val="24"/>
                <w:szCs w:val="24"/>
              </w:rPr>
              <w:t xml:space="preserve">ля проведения </w:t>
            </w:r>
            <w:r w:rsidR="00D420C9">
              <w:rPr>
                <w:rFonts w:ascii="Times New Roman" w:hAnsi="Times New Roman" w:cs="Times New Roman"/>
                <w:sz w:val="24"/>
                <w:szCs w:val="24"/>
              </w:rPr>
              <w:t>хореографических</w:t>
            </w:r>
            <w:r w:rsidR="00213570">
              <w:rPr>
                <w:rFonts w:ascii="Times New Roman" w:hAnsi="Times New Roman" w:cs="Times New Roman"/>
                <w:sz w:val="24"/>
                <w:szCs w:val="24"/>
              </w:rPr>
              <w:t xml:space="preserve"> занятий</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 месяцев</w:t>
            </w:r>
            <w:r w:rsidR="00D420C9">
              <w:rPr>
                <w:rFonts w:ascii="Times New Roman" w:hAnsi="Times New Roman" w:cs="Times New Roman"/>
                <w:sz w:val="24"/>
                <w:szCs w:val="24"/>
              </w:rPr>
              <w:t xml:space="preserve"> (кроме</w:t>
            </w:r>
            <w:r w:rsidR="00BF5B7F">
              <w:rPr>
                <w:rFonts w:ascii="Times New Roman" w:hAnsi="Times New Roman" w:cs="Times New Roman"/>
                <w:sz w:val="24"/>
                <w:szCs w:val="24"/>
              </w:rPr>
              <w:t xml:space="preserve"> летних месяцев</w:t>
            </w:r>
            <w:r w:rsidR="00D420C9">
              <w:rPr>
                <w:rFonts w:ascii="Times New Roman" w:hAnsi="Times New Roman" w:cs="Times New Roman"/>
                <w:sz w:val="24"/>
                <w:szCs w:val="24"/>
              </w:rPr>
              <w:t xml:space="preserve"> – июнь, июль, август</w:t>
            </w:r>
            <w:r w:rsidR="003963E0" w:rsidRPr="00437E6C">
              <w:rPr>
                <w:rFonts w:ascii="Times New Roman" w:hAnsi="Times New Roman" w:cs="Times New Roman"/>
                <w:sz w:val="24"/>
                <w:szCs w:val="24"/>
              </w:rPr>
              <w:t>)</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D420C9">
              <w:rPr>
                <w:rFonts w:ascii="Times New Roman" w:eastAsia="Times New Roman" w:hAnsi="Times New Roman" w:cs="Times New Roman"/>
                <w:b/>
                <w:bCs/>
                <w:sz w:val="24"/>
                <w:szCs w:val="24"/>
                <w:lang w:eastAsia="ru-RU"/>
              </w:rPr>
              <w:t xml:space="preserve"> 3 220</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D420C9" w:rsidRPr="00D420C9">
              <w:rPr>
                <w:rFonts w:ascii="Times New Roman" w:eastAsia="Times New Roman" w:hAnsi="Times New Roman" w:cs="Times New Roman"/>
                <w:b/>
                <w:bCs/>
                <w:sz w:val="24"/>
                <w:szCs w:val="24"/>
                <w:lang w:eastAsia="ru-RU"/>
              </w:rPr>
              <w:t>три тысячи двести двадцать</w:t>
            </w:r>
            <w:r w:rsidR="002576AC" w:rsidRPr="00437E6C">
              <w:rPr>
                <w:rFonts w:ascii="Times New Roman" w:eastAsia="Times New Roman" w:hAnsi="Times New Roman" w:cs="Times New Roman"/>
                <w:b/>
                <w:bCs/>
                <w:sz w:val="24"/>
                <w:szCs w:val="24"/>
                <w:lang w:eastAsia="ru-RU"/>
              </w:rPr>
              <w:t>)</w:t>
            </w:r>
            <w:r w:rsidR="00D420C9">
              <w:rPr>
                <w:rFonts w:ascii="Times New Roman" w:eastAsia="Times New Roman" w:hAnsi="Times New Roman" w:cs="Times New Roman"/>
                <w:b/>
                <w:bCs/>
                <w:sz w:val="24"/>
                <w:szCs w:val="24"/>
                <w:lang w:eastAsia="ru-RU"/>
              </w:rPr>
              <w:t xml:space="preserve"> руб. 83</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lastRenderedPageBreak/>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xml:space="preserve">: </w:t>
            </w:r>
            <w:r w:rsidR="00D420C9">
              <w:rPr>
                <w:rFonts w:ascii="Times New Roman" w:hAnsi="Times New Roman" w:cs="Times New Roman"/>
                <w:sz w:val="24"/>
                <w:szCs w:val="24"/>
              </w:rPr>
              <w:t xml:space="preserve">161 </w:t>
            </w:r>
            <w:r w:rsidR="007C4AED" w:rsidRPr="00437E6C">
              <w:rPr>
                <w:rFonts w:ascii="Times New Roman" w:hAnsi="Times New Roman" w:cs="Times New Roman"/>
                <w:sz w:val="24"/>
                <w:szCs w:val="24"/>
              </w:rPr>
              <w:t>руб.</w:t>
            </w:r>
            <w:r w:rsidR="00D420C9">
              <w:rPr>
                <w:rFonts w:ascii="Times New Roman" w:hAnsi="Times New Roman" w:cs="Times New Roman"/>
                <w:sz w:val="24"/>
                <w:szCs w:val="24"/>
              </w:rPr>
              <w:t>04</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6A5C8D" w:rsidRDefault="00A97BE3" w:rsidP="00A97BE3">
            <w:pPr>
              <w:pStyle w:val="a3"/>
              <w:keepNext/>
              <w:contextualSpacing/>
              <w:mirrorIndents/>
              <w:jc w:val="both"/>
              <w:rPr>
                <w:rFonts w:ascii="Times New Roman" w:hAnsi="Times New Roman" w:cs="Times New Roman"/>
                <w:sz w:val="24"/>
                <w:szCs w:val="24"/>
              </w:rPr>
            </w:pPr>
            <w:r w:rsidRPr="006A5C8D">
              <w:rPr>
                <w:rFonts w:ascii="Times New Roman" w:hAnsi="Times New Roman" w:cs="Times New Roman"/>
                <w:sz w:val="24"/>
                <w:szCs w:val="24"/>
              </w:rPr>
              <w:t xml:space="preserve">Контактное лицо: </w:t>
            </w:r>
            <w:r w:rsidR="00C92A36" w:rsidRPr="00C92A36">
              <w:rPr>
                <w:rFonts w:ascii="Times New Roman" w:hAnsi="Times New Roman" w:cs="Times New Roman"/>
                <w:sz w:val="24"/>
                <w:szCs w:val="24"/>
              </w:rPr>
              <w:t>Нуриахметов Дамир Денисламович</w:t>
            </w:r>
          </w:p>
          <w:p w:rsidR="005352BF" w:rsidRPr="00437E6C" w:rsidRDefault="00F907AD" w:rsidP="00C92A36">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C92A36" w:rsidRPr="00C92A36">
              <w:rPr>
                <w:rFonts w:ascii="Times New Roman" w:hAnsi="Times New Roman" w:cs="Times New Roman"/>
                <w:b/>
                <w:sz w:val="24"/>
                <w:szCs w:val="24"/>
              </w:rPr>
              <w:tab/>
              <w:t>+</w:t>
            </w:r>
            <w:r w:rsidR="00C92A36" w:rsidRPr="00C92A36">
              <w:rPr>
                <w:rFonts w:ascii="Times New Roman" w:hAnsi="Times New Roman" w:cs="Times New Roman"/>
                <w:sz w:val="24"/>
                <w:szCs w:val="24"/>
              </w:rPr>
              <w:t>7(855)-259-36-88</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A21AFD">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A21AFD" w:rsidRPr="00A21AFD">
              <w:rPr>
                <w:rFonts w:ascii="Times New Roman" w:hAnsi="Times New Roman" w:cs="Times New Roman"/>
                <w:b/>
                <w:sz w:val="24"/>
                <w:szCs w:val="24"/>
              </w:rPr>
              <w:t>3 220 (три тысячи двести двадцать) руб. 83 коп.</w:t>
            </w:r>
            <w:r w:rsidR="00A21AFD">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lastRenderedPageBreak/>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437E6C">
              <w:rPr>
                <w:rFonts w:ascii="Times New Roman" w:eastAsia="Times New Roman" w:hAnsi="Times New Roman" w:cs="Times New Roman"/>
                <w:sz w:val="24"/>
                <w:szCs w:val="24"/>
                <w:lang w:eastAsia="ru-RU"/>
              </w:rPr>
              <w:lastRenderedPageBreak/>
              <w:t>проведении торгов</w:t>
            </w:r>
            <w:r w:rsidRPr="00437E6C">
              <w:rPr>
                <w:rFonts w:ascii="Times New Roman" w:eastAsia="Times New Roman" w:hAnsi="Times New Roman" w:cs="Times New Roman"/>
                <w:b/>
                <w:sz w:val="24"/>
                <w:szCs w:val="24"/>
                <w:lang w:eastAsia="ru-RU"/>
              </w:rPr>
              <w:t xml:space="preserve"> </w:t>
            </w:r>
            <w:hyperlink r:id="rId9"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4D41E0">
              <w:rPr>
                <w:rFonts w:ascii="Times New Roman" w:eastAsia="Times New Roman" w:hAnsi="Times New Roman" w:cs="Times New Roman"/>
                <w:b/>
                <w:i/>
                <w:sz w:val="24"/>
                <w:szCs w:val="24"/>
                <w:u w:val="single"/>
                <w:lang w:eastAsia="ru-RU"/>
              </w:rPr>
              <w:t>01</w:t>
            </w:r>
            <w:r w:rsidR="00C27EA9" w:rsidRPr="00437E6C">
              <w:rPr>
                <w:rFonts w:ascii="Times New Roman" w:eastAsia="Times New Roman" w:hAnsi="Times New Roman" w:cs="Times New Roman"/>
                <w:b/>
                <w:i/>
                <w:sz w:val="24"/>
                <w:szCs w:val="24"/>
                <w:u w:val="single"/>
                <w:lang w:eastAsia="ru-RU"/>
              </w:rPr>
              <w:t>.</w:t>
            </w:r>
            <w:r w:rsidR="004D41E0">
              <w:rPr>
                <w:rFonts w:ascii="Times New Roman" w:eastAsia="Times New Roman" w:hAnsi="Times New Roman" w:cs="Times New Roman"/>
                <w:b/>
                <w:i/>
                <w:sz w:val="24"/>
                <w:szCs w:val="24"/>
                <w:u w:val="single"/>
                <w:lang w:eastAsia="ru-RU"/>
              </w:rPr>
              <w:t>08</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4D41E0">
              <w:rPr>
                <w:rFonts w:ascii="Times New Roman" w:hAnsi="Times New Roman" w:cs="Times New Roman"/>
                <w:b/>
                <w:i/>
                <w:sz w:val="24"/>
                <w:szCs w:val="24"/>
                <w:u w:val="single"/>
              </w:rPr>
              <w:t>с 09 часов 00 минут  01.08</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4D41E0">
              <w:rPr>
                <w:rFonts w:ascii="Times New Roman" w:hAnsi="Times New Roman" w:cs="Times New Roman"/>
                <w:b/>
                <w:i/>
                <w:sz w:val="24"/>
                <w:szCs w:val="24"/>
                <w:u w:val="single"/>
              </w:rPr>
              <w:t>01</w:t>
            </w:r>
            <w:r w:rsidR="006E1287" w:rsidRPr="00437E6C">
              <w:rPr>
                <w:rFonts w:ascii="Times New Roman" w:hAnsi="Times New Roman" w:cs="Times New Roman"/>
                <w:b/>
                <w:i/>
                <w:sz w:val="24"/>
                <w:szCs w:val="24"/>
                <w:u w:val="single"/>
              </w:rPr>
              <w:t>.</w:t>
            </w:r>
            <w:r w:rsidR="004D41E0">
              <w:rPr>
                <w:rFonts w:ascii="Times New Roman" w:hAnsi="Times New Roman" w:cs="Times New Roman"/>
                <w:b/>
                <w:i/>
                <w:sz w:val="24"/>
                <w:szCs w:val="24"/>
                <w:u w:val="single"/>
              </w:rPr>
              <w:t>08</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xml:space="preserve">) Участник, предложение о цене договора которого является лучшим текущим </w:t>
            </w:r>
            <w:r w:rsidR="009C022A" w:rsidRPr="00437E6C">
              <w:lastRenderedPageBreak/>
              <w:t>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 xml:space="preserve">(размер, срок и порядок его </w:t>
            </w:r>
            <w:r w:rsidRPr="00437E6C">
              <w:rPr>
                <w:rFonts w:ascii="Times New Roman" w:hAnsi="Times New Roman" w:cs="Times New Roman"/>
                <w:b/>
                <w:i/>
                <w:sz w:val="24"/>
                <w:szCs w:val="24"/>
              </w:rPr>
              <w:lastRenderedPageBreak/>
              <w:t>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0"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1" w:name="_Toc183681432"/>
      <w:bookmarkStart w:id="2" w:name="_Toc256182811"/>
      <w:r w:rsidRPr="00437E6C">
        <w:rPr>
          <w:rFonts w:ascii="Times New Roman" w:hAnsi="Times New Roman" w:cs="Times New Roman"/>
          <w:sz w:val="24"/>
          <w:szCs w:val="24"/>
        </w:rPr>
        <w:t xml:space="preserve">ОБЩИЕ УСЛОВИЯ ПРОВЕДЕНИЯ </w:t>
      </w:r>
      <w:bookmarkEnd w:id="1"/>
      <w:r w:rsidRPr="00437E6C">
        <w:rPr>
          <w:rFonts w:ascii="Times New Roman" w:hAnsi="Times New Roman" w:cs="Times New Roman"/>
          <w:sz w:val="24"/>
          <w:szCs w:val="24"/>
        </w:rPr>
        <w:t>ОТКРЫТОГО АУКЦИОНА</w:t>
      </w:r>
      <w:bookmarkEnd w:id="2"/>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3"/>
      <w:bookmarkEnd w:id="4"/>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5"/>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7"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7"/>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8" w:name="_Toc183681444"/>
      <w:bookmarkEnd w:id="6"/>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37E6C">
        <w:rPr>
          <w:rFonts w:ascii="Times New Roman" w:hAnsi="Times New Roman" w:cs="Times New Roman"/>
          <w:spacing w:val="5"/>
          <w:sz w:val="24"/>
          <w:szCs w:val="24"/>
        </w:rPr>
        <w:t>1.6. Отказ от проведения аукциона</w:t>
      </w:r>
      <w:bookmarkEnd w:id="10"/>
      <w:bookmarkEnd w:id="11"/>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37E6C">
        <w:rPr>
          <w:rFonts w:ascii="Times New Roman" w:hAnsi="Times New Roman" w:cs="Times New Roman"/>
          <w:sz w:val="24"/>
          <w:szCs w:val="24"/>
        </w:rPr>
        <w:t>РАЗДЕЛ 2.</w:t>
      </w:r>
      <w:bookmarkEnd w:id="12"/>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3"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3"/>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4"/>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5"/>
      <w:r w:rsidRPr="00437E6C">
        <w:rPr>
          <w:rFonts w:ascii="Times New Roman" w:hAnsi="Times New Roman" w:cs="Times New Roman"/>
          <w:sz w:val="24"/>
          <w:szCs w:val="24"/>
        </w:rPr>
        <w:t xml:space="preserve"> об аукционе</w:t>
      </w:r>
      <w:bookmarkEnd w:id="16"/>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7"/>
      <w:r w:rsidRPr="00437E6C">
        <w:rPr>
          <w:rFonts w:ascii="Times New Roman" w:hAnsi="Times New Roman" w:cs="Times New Roman"/>
          <w:sz w:val="24"/>
          <w:szCs w:val="24"/>
        </w:rPr>
        <w:t xml:space="preserve"> об аукционе</w:t>
      </w:r>
      <w:bookmarkEnd w:id="18"/>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9"/>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20"/>
      <w:r w:rsidRPr="00437E6C">
        <w:rPr>
          <w:rFonts w:ascii="Times New Roman" w:hAnsi="Times New Roman" w:cs="Times New Roman"/>
          <w:sz w:val="24"/>
          <w:szCs w:val="24"/>
        </w:rPr>
        <w:t>аукционе</w:t>
      </w:r>
      <w:bookmarkEnd w:id="21"/>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37E6C">
        <w:rPr>
          <w:rFonts w:ascii="Times New Roman" w:hAnsi="Times New Roman" w:cs="Times New Roman"/>
          <w:sz w:val="24"/>
          <w:szCs w:val="24"/>
        </w:rPr>
        <w:t>4.2. Требования к составу заявки на участие в аукционе</w:t>
      </w:r>
      <w:bookmarkEnd w:id="22"/>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37E6C">
        <w:rPr>
          <w:rFonts w:ascii="Times New Roman" w:hAnsi="Times New Roman" w:cs="Times New Roman"/>
          <w:sz w:val="24"/>
          <w:szCs w:val="24"/>
        </w:rPr>
        <w:t>4.3. Требование о внесении задатка на участие в аукционе</w:t>
      </w:r>
      <w:bookmarkEnd w:id="25"/>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6"/>
      <w:r w:rsidRPr="00437E6C">
        <w:rPr>
          <w:rFonts w:ascii="Times New Roman" w:hAnsi="Times New Roman" w:cs="Times New Roman"/>
          <w:sz w:val="24"/>
          <w:szCs w:val="24"/>
        </w:rPr>
        <w:t>аукционе</w:t>
      </w:r>
      <w:bookmarkEnd w:id="27"/>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8"/>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9" w:name="_Toc256182832"/>
      <w:r w:rsidRPr="00437E6C">
        <w:rPr>
          <w:rFonts w:ascii="Times New Roman" w:hAnsi="Times New Roman" w:cs="Times New Roman"/>
          <w:sz w:val="24"/>
          <w:szCs w:val="24"/>
        </w:rPr>
        <w:t>. Заключение договора по результатам аукциона</w:t>
      </w:r>
      <w:bookmarkEnd w:id="29"/>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40" w:name="_Toc183681482"/>
      <w:bookmarkStart w:id="41"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2" w:name="_Toc184461658"/>
      <w:bookmarkStart w:id="43" w:name="_Toc256182839"/>
      <w:bookmarkEnd w:id="40"/>
      <w:bookmarkEnd w:id="41"/>
      <w:r w:rsidR="00FE02AC" w:rsidRPr="00437E6C">
        <w:rPr>
          <w:rFonts w:ascii="Times New Roman" w:hAnsi="Times New Roman" w:cs="Times New Roman"/>
          <w:b/>
          <w:bCs/>
          <w:sz w:val="28"/>
          <w:szCs w:val="24"/>
        </w:rPr>
        <w:t xml:space="preserve">ФОРМА 2. </w:t>
      </w:r>
      <w:bookmarkEnd w:id="42"/>
      <w:bookmarkEnd w:id="43"/>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1"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4"/>
      <w:bookmarkEnd w:id="45"/>
      <w:bookmarkEnd w:id="46"/>
      <w:bookmarkEnd w:id="47"/>
      <w:bookmarkEnd w:id="48"/>
      <w:bookmarkEnd w:id="49"/>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1" w:name="_Toc183681484"/>
      <w:bookmarkStart w:id="52" w:name="_Toc184461660"/>
      <w:r w:rsidR="001D1D49" w:rsidRPr="00437E6C">
        <w:rPr>
          <w:rFonts w:ascii="Times New Roman" w:hAnsi="Times New Roman" w:cs="Times New Roman"/>
          <w:b/>
          <w:sz w:val="24"/>
          <w:szCs w:val="24"/>
        </w:rPr>
        <w:t xml:space="preserve"> ПРОЕКТ </w:t>
      </w:r>
      <w:bookmarkEnd w:id="51"/>
      <w:bookmarkEnd w:id="52"/>
      <w:r w:rsidR="001D1D49" w:rsidRPr="00437E6C">
        <w:rPr>
          <w:rFonts w:ascii="Times New Roman" w:hAnsi="Times New Roman" w:cs="Times New Roman"/>
          <w:b/>
          <w:sz w:val="24"/>
          <w:szCs w:val="24"/>
        </w:rPr>
        <w:t>ДОГОВОР</w:t>
      </w:r>
      <w:bookmarkEnd w:id="50"/>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4D41E0"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________________</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4D41E0">
        <w:rPr>
          <w:rFonts w:ascii="Times New Roman" w:hAnsi="Times New Roman" w:cs="Times New Roman"/>
          <w:sz w:val="24"/>
          <w:szCs w:val="24"/>
        </w:rPr>
        <w:t>ого комитета от 26.05.2025 №3796</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4D41E0">
        <w:rPr>
          <w:rFonts w:ascii="Times New Roman" w:hAnsi="Times New Roman" w:cs="Times New Roman"/>
          <w:sz w:val="24"/>
          <w:szCs w:val="24"/>
        </w:rPr>
        <w:t>от 26.05.2025 №3796</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МБОУ «Средняя школа №52»</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Адрес: 423827, Республика Татарстан, город Набережные Челны, бульвар Автомобилестроителей, дом 5, 52/36</w:t>
      </w:r>
    </w:p>
    <w:p w:rsidR="001A40F1" w:rsidRPr="001A40F1" w:rsidRDefault="001A40F1" w:rsidP="001A40F1">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ОТДЕЛЕНИЕ-НБ РЕСПУБЛИКА ТАТАРСТАН  БАНКА РОССИИ//УФК по Республике Татарстан г. Казань</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ИНН/КПП: 1650084987/165001001</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р/с 03234643927300001100</w:t>
      </w:r>
    </w:p>
    <w:p w:rsidR="001A40F1" w:rsidRDefault="001A40F1" w:rsidP="00325C2A">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КБК 800 00000000000000 130</w:t>
      </w:r>
    </w:p>
    <w:p w:rsidR="001A40F1" w:rsidRDefault="001A40F1" w:rsidP="001A40F1">
      <w:pPr>
        <w:pStyle w:val="ConsPlusNormal"/>
        <w:keepLines/>
        <w:ind w:firstLine="709"/>
        <w:contextualSpacing/>
        <w:rPr>
          <w:rFonts w:ascii="Times New Roman" w:hAnsi="Times New Roman" w:cs="Times New Roman"/>
          <w:sz w:val="24"/>
          <w:szCs w:val="24"/>
        </w:rPr>
      </w:pPr>
      <w:r w:rsidRPr="001A40F1">
        <w:rPr>
          <w:rFonts w:ascii="Times New Roman" w:hAnsi="Times New Roman" w:cs="Times New Roman"/>
          <w:sz w:val="24"/>
          <w:szCs w:val="24"/>
        </w:rPr>
        <w:t>БИК: 019205400</w:t>
      </w:r>
    </w:p>
    <w:p w:rsidR="001A40F1" w:rsidRDefault="001A40F1" w:rsidP="001A40F1">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02E0B" w:rsidP="00C02E0B">
      <w:pPr>
        <w:jc w:val="center"/>
        <w:rPr>
          <w:rFonts w:ascii="Times New Roman" w:hAnsi="Times New Roman" w:cs="Times New Roman"/>
        </w:rPr>
      </w:pPr>
    </w:p>
    <w:p w:rsidR="00C02E0B" w:rsidRDefault="00CC650B" w:rsidP="00C02E0B">
      <w:pPr>
        <w:rPr>
          <w:szCs w:val="24"/>
        </w:rPr>
      </w:pPr>
      <w:r>
        <w:rPr>
          <w:noProof/>
          <w:lang w:eastAsia="ru-RU"/>
        </w:rPr>
        <w:drawing>
          <wp:inline distT="0" distB="0" distL="0" distR="0" wp14:anchorId="010D1106" wp14:editId="0F7AC5FB">
            <wp:extent cx="5940425" cy="36385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638550"/>
                    </a:xfrm>
                    <a:prstGeom prst="rect">
                      <a:avLst/>
                    </a:prstGeom>
                  </pic:spPr>
                </pic:pic>
              </a:graphicData>
            </a:graphic>
          </wp:inline>
        </w:drawing>
      </w: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0F1" w:rsidRDefault="001A40F1">
      <w:pPr>
        <w:spacing w:after="0" w:line="240" w:lineRule="auto"/>
      </w:pPr>
      <w:r>
        <w:separator/>
      </w:r>
    </w:p>
  </w:endnote>
  <w:endnote w:type="continuationSeparator" w:id="0">
    <w:p w:rsidR="001A40F1" w:rsidRDefault="001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0F1" w:rsidRDefault="001A40F1">
      <w:pPr>
        <w:spacing w:after="0" w:line="240" w:lineRule="auto"/>
      </w:pPr>
      <w:r>
        <w:separator/>
      </w:r>
    </w:p>
  </w:footnote>
  <w:footnote w:type="continuationSeparator" w:id="0">
    <w:p w:rsidR="001A40F1" w:rsidRDefault="001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83FCD"/>
    <w:rsid w:val="0018589F"/>
    <w:rsid w:val="001A40F1"/>
    <w:rsid w:val="001D1D49"/>
    <w:rsid w:val="001D6BF7"/>
    <w:rsid w:val="001D7855"/>
    <w:rsid w:val="001E12BB"/>
    <w:rsid w:val="001E1F2B"/>
    <w:rsid w:val="001E2C05"/>
    <w:rsid w:val="001F1476"/>
    <w:rsid w:val="001F42B1"/>
    <w:rsid w:val="001F528B"/>
    <w:rsid w:val="001F5ADE"/>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A07A2"/>
    <w:rsid w:val="002A2237"/>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D41E0"/>
    <w:rsid w:val="004E609C"/>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27491"/>
    <w:rsid w:val="006435E2"/>
    <w:rsid w:val="00643A81"/>
    <w:rsid w:val="00650D62"/>
    <w:rsid w:val="00657393"/>
    <w:rsid w:val="00670E16"/>
    <w:rsid w:val="006716FE"/>
    <w:rsid w:val="00674991"/>
    <w:rsid w:val="00676B36"/>
    <w:rsid w:val="00687BD7"/>
    <w:rsid w:val="00697434"/>
    <w:rsid w:val="006A2779"/>
    <w:rsid w:val="006A5C8D"/>
    <w:rsid w:val="006B5808"/>
    <w:rsid w:val="006B647A"/>
    <w:rsid w:val="006D4F7F"/>
    <w:rsid w:val="006E1287"/>
    <w:rsid w:val="006E1715"/>
    <w:rsid w:val="006E35E9"/>
    <w:rsid w:val="007011E4"/>
    <w:rsid w:val="0072030E"/>
    <w:rsid w:val="0073246D"/>
    <w:rsid w:val="007414D5"/>
    <w:rsid w:val="00741C40"/>
    <w:rsid w:val="007453E9"/>
    <w:rsid w:val="00745C85"/>
    <w:rsid w:val="00760AFF"/>
    <w:rsid w:val="007702BB"/>
    <w:rsid w:val="007712CB"/>
    <w:rsid w:val="00772E6E"/>
    <w:rsid w:val="007904B1"/>
    <w:rsid w:val="007932BE"/>
    <w:rsid w:val="007A17B7"/>
    <w:rsid w:val="007A6E68"/>
    <w:rsid w:val="007B22E0"/>
    <w:rsid w:val="007C02B8"/>
    <w:rsid w:val="007C4AED"/>
    <w:rsid w:val="007D1113"/>
    <w:rsid w:val="007D666F"/>
    <w:rsid w:val="0080235A"/>
    <w:rsid w:val="00807EF3"/>
    <w:rsid w:val="00817B44"/>
    <w:rsid w:val="0082672C"/>
    <w:rsid w:val="008403CF"/>
    <w:rsid w:val="00841E73"/>
    <w:rsid w:val="0085484F"/>
    <w:rsid w:val="008673AD"/>
    <w:rsid w:val="00874194"/>
    <w:rsid w:val="00890389"/>
    <w:rsid w:val="008A5B25"/>
    <w:rsid w:val="008B2DEA"/>
    <w:rsid w:val="008B38B8"/>
    <w:rsid w:val="008C0EAC"/>
    <w:rsid w:val="008C11C9"/>
    <w:rsid w:val="00902FB6"/>
    <w:rsid w:val="009033BB"/>
    <w:rsid w:val="0090528F"/>
    <w:rsid w:val="00923A47"/>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1AFD"/>
    <w:rsid w:val="00A25AEE"/>
    <w:rsid w:val="00A51490"/>
    <w:rsid w:val="00A81BE8"/>
    <w:rsid w:val="00A97440"/>
    <w:rsid w:val="00A97BE3"/>
    <w:rsid w:val="00AA5572"/>
    <w:rsid w:val="00AA7360"/>
    <w:rsid w:val="00AB5B90"/>
    <w:rsid w:val="00AC2ED0"/>
    <w:rsid w:val="00AD4D99"/>
    <w:rsid w:val="00AF5E57"/>
    <w:rsid w:val="00B107DE"/>
    <w:rsid w:val="00B11A8A"/>
    <w:rsid w:val="00B14763"/>
    <w:rsid w:val="00B15613"/>
    <w:rsid w:val="00B1603B"/>
    <w:rsid w:val="00B371E8"/>
    <w:rsid w:val="00B37CAE"/>
    <w:rsid w:val="00B44F37"/>
    <w:rsid w:val="00B53A0B"/>
    <w:rsid w:val="00B62BD2"/>
    <w:rsid w:val="00B70140"/>
    <w:rsid w:val="00B90118"/>
    <w:rsid w:val="00B90353"/>
    <w:rsid w:val="00B93333"/>
    <w:rsid w:val="00B95C51"/>
    <w:rsid w:val="00B9666E"/>
    <w:rsid w:val="00BA0E11"/>
    <w:rsid w:val="00BA366B"/>
    <w:rsid w:val="00BB365B"/>
    <w:rsid w:val="00BB45FA"/>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92A36"/>
    <w:rsid w:val="00CA4655"/>
    <w:rsid w:val="00CA61D9"/>
    <w:rsid w:val="00CA63FB"/>
    <w:rsid w:val="00CB321D"/>
    <w:rsid w:val="00CC3F74"/>
    <w:rsid w:val="00CC59DA"/>
    <w:rsid w:val="00CC650B"/>
    <w:rsid w:val="00CC7EA8"/>
    <w:rsid w:val="00CD22E8"/>
    <w:rsid w:val="00CD401B"/>
    <w:rsid w:val="00CD7596"/>
    <w:rsid w:val="00CF6B2A"/>
    <w:rsid w:val="00D03A42"/>
    <w:rsid w:val="00D04B1B"/>
    <w:rsid w:val="00D06B7B"/>
    <w:rsid w:val="00D13697"/>
    <w:rsid w:val="00D1443B"/>
    <w:rsid w:val="00D15B88"/>
    <w:rsid w:val="00D25C50"/>
    <w:rsid w:val="00D31D61"/>
    <w:rsid w:val="00D34AA9"/>
    <w:rsid w:val="00D40057"/>
    <w:rsid w:val="00D416A5"/>
    <w:rsid w:val="00D420C9"/>
    <w:rsid w:val="00D45DC0"/>
    <w:rsid w:val="00D52779"/>
    <w:rsid w:val="00D72A1F"/>
    <w:rsid w:val="00D877B8"/>
    <w:rsid w:val="00DC180C"/>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6638A"/>
    <w:rsid w:val="00E7071A"/>
    <w:rsid w:val="00E80F68"/>
    <w:rsid w:val="00E813BC"/>
    <w:rsid w:val="00E83DF7"/>
    <w:rsid w:val="00E92FD8"/>
    <w:rsid w:val="00EA6C65"/>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1E79"/>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AE9D-B1F4-4547-B26E-AE971532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27</Pages>
  <Words>11726</Words>
  <Characters>66843</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222</cp:revision>
  <dcterms:created xsi:type="dcterms:W3CDTF">2023-10-16T08:44:00Z</dcterms:created>
  <dcterms:modified xsi:type="dcterms:W3CDTF">2025-06-24T08:00:00Z</dcterms:modified>
</cp:coreProperties>
</file>